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cost of goods sold by television and radio broadcasters for purposes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171.1012(o), Tax Code, is amended to read as follows:</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171.1014(e)(1), whose principal business activity is film or television production</w:t>
      </w:r>
      <w:r>
        <w:rPr>
          <w:u w:val="single"/>
        </w:rPr>
        <w:t xml:space="preserve">, television</w:t>
      </w:r>
      <w:r>
        <w:t xml:space="preserve"> or </w:t>
      </w:r>
      <w:r>
        <w:rPr>
          <w:u w:val="single"/>
        </w:rPr>
        <w:t xml:space="preserve">radio</w:t>
      </w:r>
      <w:r>
        <w:t xml:space="preserve"> broadcasting</w:t>
      </w:r>
      <w:r>
        <w:rPr>
          <w:u w:val="single"/>
        </w:rPr>
        <w:t xml:space="preserve">,</w:t>
      </w:r>
      <w:r>
        <w:t xml:space="preserve"> [</w:t>
      </w:r>
      <w:r>
        <w:rPr>
          <w:strike/>
        </w:rPr>
        <w:t xml:space="preserve">or</w:t>
      </w:r>
      <w:r>
        <w:t xml:space="preserve">]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 </w:t>
      </w:r>
      <w:r>
        <w:t xml:space="preserve"> </w:t>
      </w:r>
      <w:r>
        <w:rPr>
          <w:u w:val="single"/>
        </w:rPr>
        <w:t xml:space="preserve">For purposes of this subsection, "television or radio broadcasting" means television or radio broadcasting under a television or radio broadcast license issued by the Federal Communications Commission and regulated under 47 C.F.R. Part 73 or 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1614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1614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131, Nays</w:t>
      </w:r>
      <w:r xml:space="preserve">
        <w:t> </w:t>
      </w:r>
      <w:r>
        <w:t xml:space="preserve">12,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