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88R13370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cost of goods sold by television and radio broadcasters for purposes of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171.1012(o), Tax Code, is amended to read as follows:</w:t>
      </w:r>
    </w:p>
    <w:p w:rsidR="003F3435" w:rsidRDefault="0032493E">
      <w:pPr>
        <w:spacing w:line="480" w:lineRule="auto"/>
        <w:ind w:firstLine="720"/>
        <w:jc w:val="both"/>
      </w:pPr>
      <w:r>
        <w:t xml:space="preserve">(o)</w:t>
      </w:r>
      <w:r xml:space="preserve">
        <w:t> </w:t>
      </w:r>
      <w:r xml:space="preserve">
        <w:t> </w:t>
      </w:r>
      <w:r>
        <w:t xml:space="preserve">If a taxable entity, including a taxable entity with respect to which cost of goods sold is determined pursuant to Section 171.1014(e)(1), whose principal business activity is film or television production</w:t>
      </w:r>
      <w:r>
        <w:rPr>
          <w:u w:val="single"/>
        </w:rPr>
        <w:t xml:space="preserve">, television</w:t>
      </w:r>
      <w:r>
        <w:t xml:space="preserve"> or </w:t>
      </w:r>
      <w:r>
        <w:rPr>
          <w:u w:val="single"/>
        </w:rPr>
        <w:t xml:space="preserve">radio</w:t>
      </w:r>
      <w:r>
        <w:t xml:space="preserve"> broadcasting</w:t>
      </w:r>
      <w:r>
        <w:rPr>
          <w:u w:val="single"/>
        </w:rPr>
        <w:t xml:space="preserve">,</w:t>
      </w:r>
      <w:r>
        <w:t xml:space="preserve"> or the distribution of tangible personal property described by Subsection (a)(3)(A)(ii), or any combination of these activities, elects to subtract cost of goods sold, the cost of goods sold for the taxable entity shall be the costs described in this section in relation to the property and include depreciation, amortization, and other expenses directly related to the acquisition, production, or use of the property, including expenses for the right to broadcast or use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