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1630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attendance policy adopted by public schools to prevent truancy.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25.0916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25.0916.</w:t>
      </w:r>
      <w:r>
        <w:rPr>
          <w:u w:val="single"/>
        </w:rPr>
        <w:t xml:space="preserve"> </w:t>
      </w:r>
      <w:r>
        <w:rPr>
          <w:u w:val="single"/>
        </w:rPr>
        <w:t xml:space="preserve"> </w:t>
      </w:r>
      <w:r>
        <w:rPr>
          <w:u w:val="single"/>
        </w:rPr>
        <w:t xml:space="preserve">ATTENDANCE POLICY.  (a)  In this section, "parent" includes a person standing in parental relation.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each school district and the governing body of each open-enrollment charter school shall adopt and implement an attendance policy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students and parents regarding the importance of regular attendance;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appropriate supports to students who fail to regularly attend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attendance policy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the benefits of regular attendance;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consequences of failing to regularly attend school, including the negative effects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student's academic progress;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student and the student's family as a result of referral to a truancy court for truant conduct under  Section 65.003(a),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 parent of a student enrolled in the district or school to elect to receive notifications of the student's absence from school for a day or part of a day, regardless of whether the student's absence is excused or unexcused,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e-mail or text message, if the district or school has the capability to send notifications through those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first class mail, if the district or school does not have the capability to send notifications as provided by Paragraph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a meeting between a parent of a student enrolled in the district or school and a school counselor, principal, or appropriate administrator when the student becomes at risk for engaging in truant conduct under Section 65.003, Family Code, as provided by the policy, to discuss the student's behavior and any conditions at the student's home that may be contributing to the student's failure to attend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 parent of a student enrolled in the district or school fails to attend a meeting described by Subdivision (4), authorize the school attendance officer to make a home visit or otherwise contact the parent in the manner described by Section 25.091 to investigate the student's behavior and living conditions and report the attendance officer's findings to the district or school;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guidelines to identify a student in need of additional support and to refer the student to in-school or out-of-school services aimed at addressing the student's failure to regularly attend school.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beginning of each school year, each school district or open-enrollment charter school shall provide a copy of the attendance policy adopted under this section to the parent of each student enrolled in the district or school.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