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88R4074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conducting certain contested case hearings under the Texas workers' compensation system by remote communication.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410.005(a), Labor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410.0055, unless</w:t>
      </w:r>
      <w:r>
        <w:t xml:space="preserve"> [</w:t>
      </w:r>
      <w:r>
        <w:rPr>
          <w:strike/>
        </w:rPr>
        <w:t xml:space="preserve">Unless</w:t>
      </w:r>
      <w:r>
        <w:t xml:space="preserve">] the division determines that good cause exists for the selection of a different location, a contested case hearing may not be conducted at a site more than 75 miles from the claimant's residence at the time of the injury.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410, Labor Code, is amended by adding Section 410.0055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410.0055.</w:t>
      </w:r>
      <w:r>
        <w:rPr>
          <w:u w:val="single"/>
        </w:rPr>
        <w:t xml:space="preserve"> </w:t>
      </w:r>
      <w:r>
        <w:rPr>
          <w:u w:val="single"/>
        </w:rPr>
        <w:t xml:space="preserve"> </w:t>
      </w:r>
      <w:r>
        <w:rPr>
          <w:u w:val="single"/>
        </w:rPr>
        <w:t xml:space="preserve">CONDUCTING CERTAIN CONTESTED CASE HEARINGS BY REMOTE COMMUNICATION.  (a)  This section applies only to a contested case hearing in which the insurance carrier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Office of Risk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A&amp;M University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Department of Transportation;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University of Texas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conduct a contested case hearing to which this section applies telephonically or by videoconference on a showing by the insurance carrier or the carrier's  representative that conducting the hearing in that manner would reduce the costs incurred by this state, including in employee time, resulting from travel to and from the hearing location.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410.0055, Labor Code, as added by this Act, applies to a contested case hearing requested on or after the effective date of this Act.  A contested case hearing requested before the effective date of this Act is governed by the law in effect on the date the contested case hearing was requested,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