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1653</w:t>
      </w:r>
    </w:p>
    <w:p w:rsidR="003F3435" w:rsidRDefault="0032493E">
      <w:pPr>
        <w:ind w:firstLine="720"/>
        <w:jc w:val="both"/>
      </w:pPr>
      <w:r>
        <w:t xml:space="preserve">(Cook, Murr, Goldman, Capriglione, Noble)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promotion of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43.03(b),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 the actor has been previously convicted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first degree if the actor engages in conduct described by Subsection (a)(1) or (2) involving a person younger than 18 years of age [</w:t>
      </w:r>
      <w:r>
        <w:rPr>
          <w:strike/>
        </w:rPr>
        <w:t xml:space="preserve">engaging in prostitution</w:t>
      </w:r>
      <w:r>
        <w:t xml:space="preserve">], regardless of whether the actor knows the age of the person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