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Hughes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1661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systems used in a central counting station.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1.</w:t>
      </w:r>
      <w:r xml:space="preserve">
        <w:t> </w:t>
      </w:r>
      <w:r xml:space="preserve">
        <w:t> </w:t>
      </w:r>
      <w:r>
        <w:t xml:space="preserve">Section 127.1301(b),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An authority operating a central counting station under this chapter may not purchase or use a [</w:t>
      </w:r>
      <w:r>
        <w:rPr>
          <w:strike/>
        </w:rPr>
        <w:t xml:space="preserve">centrally counted optical</w:t>
      </w:r>
      <w:r>
        <w:t xml:space="preserve">] ballot </w:t>
      </w:r>
      <w:r>
        <w:rPr>
          <w:u w:val="single"/>
        </w:rPr>
        <w:t xml:space="preserve">scanner unless the ballot scanner can only use</w:t>
      </w:r>
      <w:r>
        <w:t xml:space="preserve"> </w:t>
      </w:r>
      <w:r>
        <w:t xml:space="preserve">[</w:t>
      </w:r>
      <w:r>
        <w:rPr>
          <w:strike/>
        </w:rPr>
        <w:t xml:space="preserve">scan system that</w:t>
      </w:r>
      <w:r>
        <w:t xml:space="preserve"> </w:t>
      </w:r>
      <w:r>
        <w:rPr>
          <w:strike/>
        </w:rPr>
        <w:t xml:space="preserve">uses</w:t>
      </w:r>
      <w:r>
        <w:t xml:space="preserve">] a data storage </w:t>
      </w:r>
      <w:r>
        <w:rPr>
          <w:u w:val="single"/>
        </w:rPr>
        <w:t xml:space="preserve">device</w:t>
      </w:r>
      <w:r>
        <w:t xml:space="preserve"> </w:t>
      </w:r>
      <w:r>
        <w:t xml:space="preserve">[</w:t>
      </w:r>
      <w:r>
        <w:rPr>
          <w:strike/>
        </w:rPr>
        <w:t xml:space="preserve">disc</w:t>
      </w:r>
      <w:r>
        <w:t xml:space="preserve">] on which information, once written, is </w:t>
      </w:r>
      <w:r>
        <w:rPr>
          <w:u w:val="single"/>
        </w:rPr>
        <w:t xml:space="preserve">incapable</w:t>
      </w:r>
      <w:r>
        <w:t xml:space="preserve"> </w:t>
      </w:r>
      <w:r>
        <w:t xml:space="preserve">[</w:t>
      </w:r>
      <w:r>
        <w:rPr>
          <w:strike/>
        </w:rPr>
        <w:t xml:space="preserve">capable</w:t>
      </w:r>
      <w:r>
        <w:t xml:space="preserve">] of being modified </w:t>
      </w:r>
      <w:r>
        <w:rPr>
          <w:u w:val="single"/>
        </w:rPr>
        <w:t xml:space="preserve">without rendering the device unreadable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2.</w:t>
      </w:r>
      <w:r xml:space="preserve">
        <w:t> </w:t>
      </w:r>
      <w:r xml:space="preserve">
        <w:t> </w:t>
      </w:r>
      <w:r>
        <w:t xml:space="preserve">This Act takes effect September 1, 2023.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1661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