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16,</w:t>
      </w:r>
      <w:r xml:space="preserve">
        <w:t> </w:t>
      </w:r>
      <w:r>
        <w:t xml:space="preserve">2023, read first time and referred to Committee on State Affairs;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10, Nays 0;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1661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ballot scan system used in a central counting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127.1301(b),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authority operating a central counting station under this chapter may </w:t>
      </w:r>
      <w:r>
        <w:rPr>
          <w:u w:val="single"/>
        </w:rPr>
        <w:t xml:space="preserve">only</w:t>
      </w:r>
      <w:r>
        <w:t xml:space="preserve"> [</w:t>
      </w:r>
      <w:r>
        <w:rPr>
          <w:strike/>
        </w:rPr>
        <w:t xml:space="preserve">not</w:t>
      </w:r>
      <w:r>
        <w:t xml:space="preserve">] purchase or use a [</w:t>
      </w:r>
      <w:r>
        <w:rPr>
          <w:strike/>
        </w:rPr>
        <w:t xml:space="preserve">centrally counted optical</w:t>
      </w:r>
      <w:r>
        <w:t xml:space="preserve">] ballot scan system </w:t>
      </w:r>
      <w:r>
        <w:rPr>
          <w:u w:val="single"/>
        </w:rPr>
        <w:t xml:space="preserve">if the system is only capable of using</w:t>
      </w:r>
      <w:r>
        <w:t xml:space="preserve"> [</w:t>
      </w:r>
      <w:r>
        <w:rPr>
          <w:strike/>
        </w:rPr>
        <w:t xml:space="preserve">that uses</w:t>
      </w:r>
      <w:r>
        <w:t xml:space="preserve">] a data </w:t>
      </w:r>
      <w:r>
        <w:rPr>
          <w:u w:val="single"/>
        </w:rPr>
        <w:t xml:space="preserve">transfer media device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storage disc on which information,</w:t>
      </w:r>
      <w:r>
        <w:t xml:space="preserve">] once </w:t>
      </w:r>
      <w:r>
        <w:rPr>
          <w:u w:val="single"/>
        </w:rPr>
        <w:t xml:space="preserve">a cast vote record is</w:t>
      </w:r>
      <w:r>
        <w:t xml:space="preserve"> written, is </w:t>
      </w:r>
      <w:r>
        <w:rPr>
          <w:u w:val="single"/>
        </w:rPr>
        <w:t xml:space="preserve">incapable</w:t>
      </w:r>
      <w:r>
        <w:t xml:space="preserve"> [</w:t>
      </w:r>
      <w:r>
        <w:rPr>
          <w:strike/>
        </w:rPr>
        <w:t xml:space="preserve">capable</w:t>
      </w:r>
      <w:r>
        <w:t xml:space="preserve">] of being modified </w:t>
      </w:r>
      <w:r>
        <w:rPr>
          <w:u w:val="single"/>
        </w:rPr>
        <w:t xml:space="preserve">without automatic: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detection of the modification;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rejection of the cast vote record;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allow for the process under Subdivision (1) to be overridden or circumvented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1661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