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1663</w:t>
      </w:r>
    </w:p>
    <w:p w:rsidR="003F3435" w:rsidRDefault="0032493E">
      <w:pPr>
        <w:ind w:firstLine="720"/>
        <w:jc w:val="both"/>
      </w:pPr>
      <w:r>
        <w:t xml:space="preserve">(Hernandez, Bucy)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to alter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545.356(b-1), (c), and (d), Transportation Code, are amended to read as follows:</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w:t>
      </w:r>
      <w:r>
        <w:rPr>
          <w:u w:val="single"/>
        </w:rPr>
        <w:t xml:space="preserve">20</w:t>
      </w:r>
      <w:r>
        <w:t xml:space="preserve"> [</w:t>
      </w:r>
      <w:r>
        <w:rPr>
          <w:strike/>
        </w:rPr>
        <w:t xml:space="preserve">25</w:t>
      </w:r>
      <w:r>
        <w:t xml:space="preserve">] miles per hour, if the governing body determines that the prima facie speed limit on the highway is unreasonable or unsafe. </w:t>
      </w:r>
      <w:r>
        <w:rPr>
          <w:u w:val="single"/>
        </w:rPr>
        <w:t xml:space="preserve">A municipality is not required to perform an engineering or traffic investigation to declare a lower speed limit under this subsection if the street is located in a residence district.</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w:t>
      </w:r>
      <w:r>
        <w:rPr>
          <w:strike/>
        </w:rPr>
        <w:t xml:space="preserve">, (b-1),</w:t>
      </w:r>
      <w:r>
        <w:t xml:space="preserve">]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w:t>
      </w:r>
      <w:r>
        <w:rPr>
          <w:strike/>
        </w:rPr>
        <w:t xml:space="preserve">(b-1) or</w:t>
      </w:r>
      <w:r>
        <w:t xml:space="preserve">]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accidents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