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88R11668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insurer's obligation under a preferred provider benefit plan for continuity of care for certain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1301.154, Insurance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(b) </w:t>
      </w:r>
      <w:r>
        <w:rPr>
          <w:u w:val="single"/>
        </w:rPr>
        <w:t xml:space="preserve">and (c)</w:t>
      </w:r>
      <w:r>
        <w:t xml:space="preserve">, Sections 1301.152 and 1301.153 do not extend an insurer's obligation to reimburse the terminated physician or provider or, if applicable, the insured at the preferred provider level of coverage for ongoing treatment of an insured after:</w:t>
      </w:r>
    </w:p>
    <w:p w:rsidR="003F3435" w:rsidRDefault="0032493E">
      <w:pPr>
        <w:spacing w:line="480" w:lineRule="auto"/>
        <w:ind w:firstLine="1440"/>
        <w:jc w:val="both"/>
      </w:pPr>
      <w:r>
        <w:t xml:space="preserve">(1)</w:t>
      </w:r>
      <w:r xml:space="preserve">
        <w:t> </w:t>
      </w:r>
      <w:r xml:space="preserve">
        <w:t> </w:t>
      </w:r>
      <w:r>
        <w:t xml:space="preserve">the 90th day after the [</w:t>
      </w:r>
      <w:r>
        <w:rPr>
          <w:strike/>
        </w:rPr>
        <w:t xml:space="preserve">effective</w:t>
      </w:r>
      <w:r>
        <w:t xml:space="preserve">] date of the </w:t>
      </w:r>
      <w:r>
        <w:rPr>
          <w:u w:val="single"/>
        </w:rPr>
        <w:t xml:space="preserve">end of the contract</w:t>
      </w:r>
      <w:r>
        <w:t xml:space="preserve"> [</w:t>
      </w:r>
      <w:r>
        <w:rPr>
          <w:strike/>
        </w:rPr>
        <w:t xml:space="preserve">termination</w:t>
      </w:r>
      <w:r>
        <w:t xml:space="preserve">]; or</w:t>
      </w:r>
    </w:p>
    <w:p w:rsidR="003F3435" w:rsidRDefault="0032493E">
      <w:pPr>
        <w:spacing w:line="480" w:lineRule="auto"/>
        <w:ind w:firstLine="1440"/>
        <w:jc w:val="both"/>
      </w:pPr>
      <w:r>
        <w:t xml:space="preserve">(2)</w:t>
      </w:r>
      <w:r xml:space="preserve">
        <w:t> </w:t>
      </w:r>
      <w:r xml:space="preserve">
        <w:t> </w:t>
      </w:r>
      <w:r>
        <w:t xml:space="preserve">if the insured has been diagnosed as having a terminal illness at the time of the termination, the expiration of the nine-month period after the effective date of the termination.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insured is a Medicaid recipient with complex medical needs who receives Medicaid services through a Medicaid managed care organization under Chapter 533, Government Code, and who has established at any time a relationship with a specialty provider, including a provider of durable medical equipment, services, or supplies, an insurer's obligation to reimburse, at the preferred provider level of coverage, the physician or provider or, if applicable, the insured, extends until a contract has been implemented under Section 533.038(g),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  A health benefit plan that is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