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88R9351 KKR-D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1673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veterinary services performed on certain  animals in the care of a releasing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828.012(b),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veterinarian employed by a releasing agency may not perform nonemergency veterinary services other than sterilization on an animal that the releasing agency knows or should know has an owner.</w:t>
      </w:r>
      <w:r xml:space="preserve">
        <w:t> </w:t>
      </w:r>
      <w:r xml:space="preserve">
        <w:t> </w:t>
      </w:r>
      <w:r>
        <w:t xml:space="preserve">However, this subsection does not prevent a veterinarian employed by a releasing agency from performing veterinary services on an animal whose owner</w:t>
      </w:r>
      <w:r>
        <w:rPr>
          <w:u w:val="single"/>
        </w:rPr>
        <w:t xml:space="preserve">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an individual or family whose income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more than 80 percent of the median income for the area in which the individual or family lives as determined using a source or methodology accepted under federal law or rule; or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less than the federal poverty level for the relevant household size;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submits to the releasing agency evidence to establish the owner qualifies as an individual or family described by Subdivision (1)</w:t>
      </w:r>
      <w:r>
        <w:t xml:space="preserve"> [</w:t>
      </w:r>
      <w:r>
        <w:rPr>
          <w:strike/>
        </w:rPr>
        <w:t xml:space="preserve">is indigent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