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1677</w:t>
      </w:r>
    </w:p>
    <w:p w:rsidR="003F3435" w:rsidRDefault="0032493E">
      <w:pPr>
        <w:ind w:firstLine="720"/>
        <w:jc w:val="both"/>
      </w:pPr>
      <w:r>
        <w:t xml:space="preserve">(Price)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Health and Human Services Commission programs providing mental health services to certain individuals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531.0991, Government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commission is appropriated money to implement this section for a state fiscal year in an amount that exceeds the total amount of grants awarded under this section in the previous state fiscal year, the commission, in selecting grant recipients for the excess amount, must accept applications or proposals from applicants that were not selected as grant recipients under this section in the previous state fiscal year or applicants that were selected as grant recipients but require additional funding for the recipient's community mental health program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531.0993, Government Code, is amended by adding Subsections (d-1) and (d-2)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establish procedures to assist a community collaborative that includes a county with a population of less than 250,000 with submission of a petition under Subsection (d).</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the commission is appropriated money to implement this section for a state fiscal year in an amount that exceeds the total amount of grants awarded under this section in the previous state fiscal year, the commission, in selecting grant recipients for the excess amount, must accept petitions from community collaboratives that were not selected as grant recipients under this section in the previous state fiscal year or collaboratives that were selected as grant recipients in the previous state fiscal year but require additional funding for the recipient's collaborative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531.09936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531.09936.</w:t>
      </w:r>
      <w:r>
        <w:rPr>
          <w:u w:val="single"/>
        </w:rPr>
        <w:t xml:space="preserve"> </w:t>
      </w:r>
      <w:r>
        <w:rPr>
          <w:u w:val="single"/>
        </w:rPr>
        <w:t xml:space="preserve"> </w:t>
      </w:r>
      <w:r>
        <w:rPr>
          <w:u w:val="single"/>
        </w:rPr>
        <w:t xml:space="preserve">ESTABLISHMENT OR EXPANSION OF REGIONAL BEHAVIORAL HEALTH CENTERS OR JAIL DIVERSION CENTERS.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mental health authority" has the meaning assigned by Section 531.002,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money is appropriated to the commission for that purpose, the commission, in cooperation with local mental health authorities located primarily in rural areas of this state, shall contract with nonprofit organizations to establish or expand behavioral health centers or jail diversion centers in the authorities' local service areas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additional forensic hospital beds and competency restoration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inpatient and outpatient mental health services to adults and children;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services to reduce recidivism and the frequency of arrest, incarceration, and emergency detentions among persons with mental illness in the service areas.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develop criteria for the evaluation of applications or proposals submitted by a nonprofit organization seeking to contract with the commission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affect a grant program established by the commission under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state auditor's office shall conduct an audit of the inmates in county jails who are waiting for a forensic hospital bed for the provision of competency restoration services.  The audit must identify any issues and inefficiencies in the commitment process.</w:t>
      </w:r>
    </w:p>
    <w:p w:rsidR="003F3435" w:rsidRDefault="0032493E">
      <w:pPr>
        <w:spacing w:line="480" w:lineRule="auto"/>
        <w:ind w:firstLine="720"/>
        <w:jc w:val="both"/>
      </w:pPr>
      <w:r>
        <w:t xml:space="preserve">(b)</w:t>
      </w:r>
      <w:r xml:space="preserve">
        <w:t> </w:t>
      </w:r>
      <w:r xml:space="preserve">
        <w:t> </w:t>
      </w:r>
      <w:r>
        <w:t xml:space="preserve">Not later than December 1, 2024, the state auditor shall prepare a report of the audit conducted under Subsection (a) of this section and publish the report on the state auditor's Internet website.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review of the history and status of the waitlist beginning September 2018 through the most current year for which information is available;</w:t>
      </w:r>
    </w:p>
    <w:p w:rsidR="003F3435" w:rsidRDefault="0032493E">
      <w:pPr>
        <w:spacing w:line="480" w:lineRule="auto"/>
        <w:ind w:firstLine="1440"/>
        <w:jc w:val="both"/>
      </w:pPr>
      <w:r>
        <w:t xml:space="preserve">(2)</w:t>
      </w:r>
      <w:r xml:space="preserve">
        <w:t> </w:t>
      </w:r>
      <w:r xml:space="preserve">
        <w:t> </w:t>
      </w:r>
      <w:r>
        <w:t xml:space="preserve">any disparities in treatment in the forensic commitment process based on race, gender, ethnicity, or age; and</w:t>
      </w:r>
    </w:p>
    <w:p w:rsidR="003F3435" w:rsidRDefault="0032493E">
      <w:pPr>
        <w:spacing w:line="480" w:lineRule="auto"/>
        <w:ind w:firstLine="1440"/>
        <w:jc w:val="both"/>
      </w:pPr>
      <w:r>
        <w:t xml:space="preserve">(3)</w:t>
      </w:r>
      <w:r xml:space="preserve">
        <w:t> </w:t>
      </w:r>
      <w:r xml:space="preserve">
        <w:t> </w:t>
      </w:r>
      <w:r>
        <w:t xml:space="preserve">any other analysis the state auditor determines appropriate.</w:t>
      </w:r>
    </w:p>
    <w:p w:rsidR="003F3435" w:rsidRDefault="0032493E">
      <w:pPr>
        <w:spacing w:line="480" w:lineRule="auto"/>
        <w:ind w:firstLine="720"/>
        <w:jc w:val="both"/>
      </w:pPr>
      <w:r>
        <w:t xml:space="preserve">(c)</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531.0993(d-1) and 531.09936,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