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1683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prohibition on certain discrimination in the extension of credit based on social credit or value-based standards.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341.401, Finance Code, is amended by adding Subsection (b)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otherwise expressly required by law, an authorized lender or other person involved in a transaction subject to this title may not deny to an organization, as defined by Section 1.001, Business Organizations Code, an extension of credit, including a loan, in the organization's name or restrict or limit the credit extended because of any other reason that is not based on an organization's failure to meet quantitative and impartial risk-based standards established by the lender, including an organization's: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social credit score or an environmental, social, or governance score that is derived from subjective or value-based standards;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diversity, equity, or inclusion standards or practices;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contracts, services, or other association with a legal industry, including agriculture, fossil fuels, firearms, or free-speech media platforms, or a religious institution.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1683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