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88R14121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claimant eligibility and initial claims under the unemployment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satisfied any outstanding obligation in relation to benefits improperly received by the individual as a result of a wilful nondisclosure or misrepresentation of a material fact described by Section 214.003, including the amount of any penalty assessed against the individual under that section, but only if the benefit period for which the individual is seeking benefits is not in the same benefit year in which the nondisclosure or misrepresentation of a material fact occurred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208.002(a), Labor Code, is amended to read as follows:</w:t>
      </w:r>
    </w:p>
    <w:p w:rsidR="003F3435" w:rsidRDefault="0032493E">
      <w:pPr>
        <w:spacing w:line="480" w:lineRule="auto"/>
        <w:ind w:firstLine="720"/>
        <w:jc w:val="both"/>
      </w:pPr>
      <w:r>
        <w:t xml:space="preserve">(a)</w:t>
      </w:r>
      <w:r xml:space="preserve">
        <w:t> </w:t>
      </w:r>
      <w:r xml:space="preserve">
        <w:t> </w:t>
      </w:r>
      <w:r>
        <w:t xml:space="preserve">When used in connection with an initial claim, "last work" and "person for whom the claimant last worked" refer to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employer, as defined by Subchapter C, Chapter 201, [</w:t>
      </w:r>
      <w:r>
        <w:rPr>
          <w:strike/>
        </w:rPr>
        <w:t xml:space="preserve">or by the unemployment law of any other state,</w:t>
      </w:r>
      <w:r>
        <w:t xml:space="preserve">] for whom the claimant last worked.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