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2023S0243-1  03/06/23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1690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the conservatorship of a child by a parent who removes the child from this state for certain purposes relating to gender reassignment.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153, Family Code, is amended by adding Section 153.0041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153.0041.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GENDER REASSIGNMENT TREATMENT OR PROCEDURE.  (a)  In this section, "gender reassignment treatment or procedure" means a medical treatment or procedure provided or performed for the purpose of altering an individual's primary or secondary sex characteristics.  The term includes providing puberty-blocking drugs, providing cross-sex hormones, or performing genital or nongenital gender reassignment surgery.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may not appoint a parent as conservator of a child if the parent removed the child from this state for the purpose of obtaining or seeking to obtain a gender reassignment treatment or procedure for the child and the parent requests a transfer of jurisdiction from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order appointing a conservator, the court shall include a notice of the potential consequences of removing a child from this state for the purpose of obtaining or seeking to obtain a gender reassignment treatment or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156, Family Code, is amended by adding Section 156.1042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156.1042.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MODIFICATION OF ORDER ON CERTAIN GROUNDS RELATING TO GENDER REASSIGNMENT TREATMENT OR PROCEDURE.  (a)  In this section, "gender reassignment treatment or procedure" has the meaning assigned by Section 153.0041.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removal of a child from this state by the child's parent for the purpose of obtaining or seeking to obtain a gender reassignment treatment or procedure for the child constitutes a material and substantial change in circumstances sufficient to justify a temporary order and modification of an existing court order or portion of a decree that provides for the appointment of the parent as the child's conservator.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 Section 153.0041(b), Family Code, as added by this Act, applies only to a removal of a child from this state by the child's parent for the purpose described by that subsection that occurs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153.0041(c), Family Code, as added by this Act, applies only to an order rendered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156.1042, Family Code, as added by this Act, applies only to a suit for modification of an order providing for the conservatorship of a child that is brought on the grounds that, on or after the effective date of this Act, a parent removed the parent's child from this state for the purpose described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