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1693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distribution, and posting of a veterans benefits and services poster in the workplace.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POSTING OF INFORMATION ABOUT BENEFITS AND SERVICES FOR VETERANS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VETERANS BENEFITS AND SERVICES POSTER.  (a) </w:t>
      </w:r>
      <w:r>
        <w:rPr>
          <w:u w:val="single"/>
        </w:rPr>
        <w:t xml:space="preserve"> </w:t>
      </w:r>
      <w:r>
        <w:rPr>
          <w:u w:val="single"/>
        </w:rPr>
        <w:t xml:space="preserve">In this section, "employer" means a person who employs at least 50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in consultation with the Texas Veterans Commission, create and distribute to each employer in this state a veterans benefits and services poster containing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an employee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 for unemployment compensation benefits under Subtitle A and unemployment compensation benefits that may be offered under a program administered by an agency of the federal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 the Texas Veterans Commission, including how an employee may access the Internet website maintained by the Texas Veterans Commission and the veterans crisis hotline established by the United States Department of Veterans Affairs under 38 U.S.C. Section 1720F;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exercise any tax benefits or preferences offered to veterans under the Tax Code or Internal Revenue Code of 1986;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obtain a driver's license or personal identification card issued by the Department of Public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services that may be available to veterans in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workforce placement, and training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legal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abuse and mental health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employer shall display the veterans benefits and services poster distributed by the commission under this section in a conspicuous place in the employer's place of business that is accessible to all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Workforce Commission shall, in consultation with the Texas Veterans Commission, create and distribute the veterans benefits and services poster as required by Section 319.001,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