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88R10634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1694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rate for the provision of vagus nerve stimulation therapy system devices by certain health care providers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32.03145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32.03145.</w:t>
      </w:r>
      <w:r>
        <w:rPr>
          <w:u w:val="single"/>
        </w:rPr>
        <w:t xml:space="preserve"> </w:t>
      </w:r>
      <w:r>
        <w:rPr>
          <w:u w:val="single"/>
        </w:rPr>
        <w:t xml:space="preserve"> </w:t>
      </w:r>
      <w:r>
        <w:rPr>
          <w:u w:val="single"/>
        </w:rPr>
        <w:t xml:space="preserve">REIMBURSEMENT FOR VAGUS NERVE STIMULATION THERAPY SYSTEM DEVICE PROVIDED BY CERTAIN PROVIDERS.  (a)  This section applies only to the following providers under the medical assistance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hospital licensed under Chapter 241, Health and Safety Code, that provides acute care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ambulatory surgical center licensed under Chapter 243,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ensure that the rules governing the determination of reimbursement rates paid to a provider subject to this section for the provision of a vagus nerve stimulation therapy system device to a medical assistance recipient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equal to 82 percent of the device's acquisition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addition to any other surgery fee charged by the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the requirements specified by Subsection (a), a contract described by that subsection must contain a requirement that a managed care organization comply with Section 32.03145,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533.005(i),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533.005(i), Government Code, as added by this Act.  To the extent of a conflict between Section 533.005(i),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