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88R10370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the impact of illegal immigration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411, Government Code, is amended by adding Section 411.02091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IMMIGRATION IMPACT STUDY.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conduct an annual study on the environmental, safety, and community impact of illegal immigration in this state, including any impact to the Texas electric grid.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collaborate or contract with a state or federal agency, a political subdivision, an institution of higher education, or a nonprofit organization or other private entity to assist in conducting the study required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 of each year, the department shall prepare and submit a report to the governor, lieutenant governor, and legislature containing the results of the study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