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88R14473 KJE-D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Middleton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1704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state compression percentage and a school district's maximum compressed tax rate under the public school finance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48.255(b),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state compression percentage is the lower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93 percent, or a lower percentage set by appropriation for a school year;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percentage determined by the following formula:</w:t>
      </w:r>
    </w:p>
    <w:p w:rsidR="003F3435" w:rsidRDefault="0032493E">
      <w:pPr>
        <w:spacing w:line="480" w:lineRule="auto"/>
        <w:jc w:val="center"/>
      </w:pPr>
      <w:r>
        <w:t xml:space="preserve">SCP = PYCP X </w:t>
      </w:r>
      <w:r>
        <w:rPr>
          <w:u w:val="single"/>
        </w:rPr>
        <w:t xml:space="preserve">1.01</w:t>
      </w:r>
      <w:r>
        <w:t xml:space="preserve"> [</w:t>
      </w:r>
      <w:r>
        <w:rPr>
          <w:strike/>
        </w:rPr>
        <w:t xml:space="preserve">1.025</w:t>
      </w:r>
      <w:r>
        <w:t xml:space="preserve">]/(1 + ECPV);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percentage determined under this section for the preceding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48.2551(b),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Except as provided by Subsection (c), a district's maximum compressed rate ("MCR") is the lesser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rate determined by the following applicable formula: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if "DPV" exceeds "PYDPV" by an amount equal to or greater than </w:t>
      </w:r>
      <w:r>
        <w:rPr>
          <w:u w:val="single"/>
        </w:rPr>
        <w:t xml:space="preserve">one</w:t>
      </w:r>
      <w:r>
        <w:t xml:space="preserve"> [</w:t>
      </w:r>
      <w:r>
        <w:rPr>
          <w:strike/>
        </w:rPr>
        <w:t xml:space="preserve">2.5</w:t>
      </w:r>
      <w:r>
        <w:t xml:space="preserve">] percent:</w:t>
      </w:r>
    </w:p>
    <w:p w:rsidR="003F3435" w:rsidRDefault="0032493E">
      <w:pPr>
        <w:spacing w:line="480" w:lineRule="auto"/>
        <w:jc w:val="center"/>
      </w:pPr>
      <w:r>
        <w:t xml:space="preserve">MCR = (</w:t>
      </w:r>
      <w:r>
        <w:rPr>
          <w:u w:val="single"/>
        </w:rPr>
        <w:t xml:space="preserve">1.01</w:t>
      </w:r>
      <w:r>
        <w:t xml:space="preserve"> [</w:t>
      </w:r>
      <w:r>
        <w:rPr>
          <w:strike/>
        </w:rPr>
        <w:t xml:space="preserve">1.025</w:t>
      </w:r>
      <w:r>
        <w:t xml:space="preserve">]((PYDPV+E) X PYMCR))/DPV;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Paragraph (A) does not apply:</w:t>
      </w:r>
    </w:p>
    <w:p w:rsidR="003F3435" w:rsidRDefault="0032493E">
      <w:pPr>
        <w:spacing w:line="480" w:lineRule="auto"/>
        <w:jc w:val="center"/>
      </w:pPr>
      <w:r>
        <w:t xml:space="preserve">MCR = PYMCR;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product of the state compression percentage, as determined under Section 48.255, for the current tax year, multiplied by $1.00.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48.2552(b),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a school district's maximum compressed rate as calculated under Section 48.2551(b) would be less than </w:t>
      </w:r>
      <w:r>
        <w:rPr>
          <w:u w:val="single"/>
        </w:rPr>
        <w:t xml:space="preserve">60</w:t>
      </w:r>
      <w:r>
        <w:t xml:space="preserve"> [</w:t>
      </w:r>
      <w:r>
        <w:rPr>
          <w:strike/>
        </w:rPr>
        <w:t xml:space="preserve">90</w:t>
      </w:r>
      <w:r>
        <w:t xml:space="preserve">] percent of another school district's maximum compressed rate, the district's maximum compressed rate is the value at which the district's maximum compressed rate would be equal to </w:t>
      </w:r>
      <w:r>
        <w:rPr>
          <w:u w:val="single"/>
        </w:rPr>
        <w:t xml:space="preserve">60</w:t>
      </w:r>
      <w:r>
        <w:t xml:space="preserve"> [</w:t>
      </w:r>
      <w:r>
        <w:rPr>
          <w:strike/>
        </w:rPr>
        <w:t xml:space="preserve">90</w:t>
      </w:r>
      <w:r>
        <w:t xml:space="preserve">] percent of the other district's maximum compressed rate.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1704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