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1707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reliability backup service for non-dispatchable generation resources in the ERCOT power region.</w:t>
      </w:r>
    </w:p>
    <w:p w:rsidR="003F3435" w:rsidRDefault="0032493E">
      <w:pPr>
        <w:spacing w:line="480" w:lineRule="auto"/>
        <w:ind w:firstLine="720"/>
        <w:jc w:val="both"/>
      </w:pPr>
      <w:r>
        <w:t xml:space="preserve">BE IT ENACTED BY THE LEGISLATURE OF THE STATE OF TEXAS: </w:t>
      </w:r>
    </w:p>
    <w:p w:rsidR="003F3435" w:rsidRDefault="0032493E">
      <w:pPr>
        <w:spacing w:line="480" w:lineRule="auto"/>
        <w:ind w:firstLine="720"/>
        <w:jc w:val="both"/>
      </w:pPr>
      <w:r>
        <w:t xml:space="preserve">SECTION</w:t>
      </w:r>
      <w:r xml:space="preserve">
        <w:t> </w:t>
      </w:r>
      <w:r>
        <w:t xml:space="preserve">1</w:t>
      </w:r>
      <w:r>
        <w:t xml:space="preserve">. </w:t>
      </w:r>
      <w:r>
        <w:t xml:space="preserve"> </w:t>
      </w:r>
      <w:r>
        <w:t xml:space="preserve">Subchapter D, Chapter 39, Utilities Code, is amended by adding Section 39.1591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39.1591.</w:t>
      </w:r>
      <w:r>
        <w:rPr>
          <w:u w:val="single"/>
        </w:rPr>
        <w:t xml:space="preserve"> </w:t>
      </w:r>
      <w:r>
        <w:rPr>
          <w:u w:val="single"/>
        </w:rPr>
        <w:t xml:space="preserve"> </w:t>
      </w:r>
      <w:r>
        <w:rPr>
          <w:u w:val="single"/>
        </w:rPr>
        <w:t xml:space="preserve">BACKUP RELIABILITY SERVICE FOR NON-DISPATCHABLE GENERATION. </w:t>
      </w:r>
      <w:r>
        <w:rPr>
          <w:u w:val="single"/>
        </w:rPr>
        <w:t xml:space="preserve"> </w:t>
      </w:r>
      <w:r>
        <w:rPr>
          <w:u w:val="single"/>
        </w:rPr>
        <w:t xml:space="preserve">(a)</w:t>
      </w:r>
      <w:r>
        <w:rPr>
          <w:u w:val="single"/>
        </w:rPr>
        <w:t xml:space="preserve"> </w:t>
      </w:r>
      <w:r>
        <w:rPr>
          <w:u w:val="single"/>
        </w:rPr>
        <w:t xml:space="preserve"> </w:t>
      </w:r>
      <w:r>
        <w:rPr>
          <w:u w:val="single"/>
        </w:rPr>
        <w:t xml:space="preserve">For the purposes of this section, a generation facility is considered to be non-dispatchable if the  facility's generation output is controlled primarily by forces outside of human control.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non-dispatchable wholesale generation resource in the ERCOT power region shall pay a charge for reliability backup service during each interval the non-dispatchable wholesale generation resource is not available to meet system needs as scheduled. </w:t>
      </w:r>
      <w:r>
        <w:rPr>
          <w:u w:val="single"/>
        </w:rPr>
        <w:t xml:space="preserve"> </w:t>
      </w:r>
      <w:r>
        <w:rPr>
          <w:u w:val="single"/>
        </w:rPr>
        <w:t xml:space="preserve">The charge must be paid to dispatchable thermal resources providing energy or ancillary services during the intervals when the reliability backup service is required.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the charge for reliability backup service in an amount necessary to fully compensate dispatchable thermal resources for providing reliability backup service to improve and maintain the reliability of the grid;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 the ERCOT independent system operator to settle the charge for reliability backup service periodically.</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