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88R8395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51.9315, Education Code, is amended by amending Subsection (g) and adding Subsections (k), (l), (m), and (n) to read as follows:</w:t>
      </w:r>
    </w:p>
    <w:p w:rsidR="003F3435" w:rsidRDefault="0032493E">
      <w:pPr>
        <w:spacing w:line="480" w:lineRule="auto"/>
        <w:ind w:firstLine="720"/>
        <w:jc w:val="both"/>
      </w:pPr>
      <w:r>
        <w:t xml:space="preserve">(g)</w:t>
      </w:r>
      <w:r xml:space="preserve">
        <w:t> </w:t>
      </w:r>
      <w:r xml:space="preserve">
        <w:t> </w:t>
      </w:r>
      <w:r>
        <w:t xml:space="preserve">An institution of higher education may not take action against a student organization or deny the organization any benefit generally available to other student organizations at the institution on the basis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political, religious, philosophical, ideological, or academic viewpoint expressed by the organization or of any expressive activities of the organization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of the organization that the organization's leaders or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 and adhere to the organization's sincerely held beliefs;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comply with the organization's standards of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further the organization's mission or purpose</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later than the first anniversary of the date a violation of this section is alleged to have occurred at an institution of higher education, a person or student organization whose expressive rights have been violated under this section may bring an action for injunctive relief to compel the institution to comply with this section or to recover compensatory damages, court costs, and reasonable attorney's fees.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purposes of computing the limitation period under Subsection (k), each day of a continuing violation of this section, including each day a rule or policy of an institution of higher education that violates this section remains in effect, constitutes a separate violation.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person or student organization may raise a violation of this section against the person or organization as a defense or counterclaim in any relevant civil, administrative, or disciplinary proceedings brought against the person or organization by the institution of higher education.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An institution of higher education's sovereign immunity to suit and from liability is waived and abolished to the extent of liability created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as amended by this Act, applies only to a cause of action that accrues on or after the effective date of this Act.</w:t>
      </w:r>
      <w:r xml:space="preserve">
        <w:t> </w:t>
      </w:r>
      <w:r xml:space="preserve">
        <w:t> </w:t>
      </w:r>
      <w:r>
        <w:t xml:space="preserve">A cause of action that accrued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