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1711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7,</w:t>
      </w:r>
      <w:r xml:space="preserve">
        <w:t> </w:t>
      </w:r>
      <w:r>
        <w:t xml:space="preserve">2023; March</w:t>
      </w:r>
      <w:r xml:space="preserve">
        <w:t> </w:t>
      </w:r>
      <w:r>
        <w:t xml:space="preserve">16,</w:t>
      </w:r>
      <w:r xml:space="preserve">
        <w:t> </w:t>
      </w:r>
      <w:r>
        <w:t xml:space="preserve">2023, read first time and referred to Committee on State Affairs; April</w:t>
      </w:r>
      <w:r xml:space="preserve">
        <w:t> </w:t>
      </w:r>
      <w:r>
        <w:t xml:space="preserve">13,</w:t>
      </w:r>
      <w:r xml:space="preserve">
        <w:t> </w:t>
      </w:r>
      <w:r>
        <w:t xml:space="preserve">2023, reported adversely, with favorable Committee Substitute by the following vote:</w:t>
      </w:r>
      <w:r>
        <w:t xml:space="preserve"> </w:t>
      </w:r>
      <w:r>
        <w:t xml:space="preserve"> </w:t>
      </w:r>
      <w:r>
        <w:t xml:space="preserve">Yeas 10, Nays 1; April</w:t>
      </w:r>
      <w:r xml:space="preserve">
        <w:t> </w:t>
      </w:r>
      <w:r>
        <w:t xml:space="preserve">13,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1711</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protection of expressive activities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51.9315, Education Code, is amended by amending Subsection (g) and adding Subsections (k), (l), (m), and (n) to read as follows:</w:t>
      </w:r>
    </w:p>
    <w:p w:rsidR="003F3435" w:rsidRDefault="0032493E">
      <w:pPr>
        <w:spacing w:line="480" w:lineRule="auto"/>
        <w:ind w:firstLine="720"/>
        <w:jc w:val="both"/>
      </w:pPr>
      <w:r>
        <w:t xml:space="preserve">(g)</w:t>
      </w:r>
      <w:r xml:space="preserve">
        <w:t> </w:t>
      </w:r>
      <w:r xml:space="preserve">
        <w:t> </w:t>
      </w:r>
      <w:r>
        <w:t xml:space="preserve">An institution of higher education may not take action against a student organization or deny the organization any benefit generally available to other student organizations at the institution on the basis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political, religious, philosophical, ideological, or academic viewpoint expressed by the organization or of any expressive activities of the organization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requirement of the organization that the organization's leaders or members: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affirm and adhere to the organization's sincerely held beliefs;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comply with the organization's standards of conduct;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further the organization's mission or purpose</w:t>
      </w:r>
      <w:r>
        <w:t xml:space="preserv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 later than the first anniversary of the date a person or student organization's expressive rights were allegedly violated by an institution of higher education under this section, the person or organization may bring an action against the institution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declaratory judgment under Chapter 37, Civil Practice and Remedies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injunction to prevent the institution from further violating this section.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For purposes of computing the limitation period under Subsection (k), each day of a continuing violation of this section, including each day a rule or policy of an institution of higher education that violates this section remains in effect, constitutes a separate violation.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 person or student organization may raise a violation of this section against the person or organization as a defense or counterclaim in any relevant civil, administrative, or disciplinary proceedings brought against the person or organization by the institution of higher education.</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An institution of higher education's sovereign immunity to suit and from liability is waived and abolished to the extent of liability created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51.9315, Education Code, as amended by this Act, applies only to a cause of action that accrues on or after the effective date of this Act.</w:t>
      </w:r>
      <w:r xml:space="preserve">
        <w:t> </w:t>
      </w:r>
      <w:r xml:space="preserve">
        <w:t> </w:t>
      </w:r>
      <w:r>
        <w:t xml:space="preserve">A cause of action that accrued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1711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