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sale, or lease of real property on behalf of a limited partnership or a limited liability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  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licensed under Chapter 1802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purchase, sale, or lease of real property for a limited partnership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partner of the limited partnership;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general partner of the limited partnership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limited partnership who negotiates the transaction in the course of employment;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purchase, sale, or lease of real property for a limited liability company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or managing member of the limited liability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manager or managing member of the limited liability company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or member of the limited liability company who negotiates the transaction in the course of employment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