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2023S0222-1  02/27/23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sale, or lease of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licensed under Chapter 1802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purchase, sale, or lease of real property for a limited partnership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partner of the limited partnership;</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the general partner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limited partnership who negotiates the transaction in the course of employment;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sale, or lease of real property for a limited liability company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or managing member of the limited liability company;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manager or managing member who negotiates the transaction in the course of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or member of the limited liability company who negotiates the transaction in the course of employment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