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1717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offense of stalking.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38.46(a),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In a prosecution for stalking, each party may offer testimony as to all relevant facts and circumstances that would aid the trier of fact in determining whether the actor's conduct would cause a reasonable person </w:t>
      </w:r>
      <w:r>
        <w:rPr>
          <w:u w:val="single"/>
        </w:rPr>
        <w:t xml:space="preserve">in circumstances similar to the circumstances of the alleged victim</w:t>
      </w:r>
      <w:r>
        <w:t xml:space="preserve"> to experience a fear described by Section 42.072(a)(3)(A), (B), or (C), Penal Code, including the facts and circumstances surrounding any existing or previous relationship between the actor and the alleged victim, a member of the alleged victim's family or household, or an individual with whom the alleged victim has a dating relationship.</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42.072(a),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on more than one occasion and pursuant to the same scheme or course of conduct that is directed [</w:t>
      </w:r>
      <w:r>
        <w:rPr>
          <w:strike/>
        </w:rPr>
        <w:t xml:space="preserve">specifically</w:t>
      </w:r>
      <w:r>
        <w:t xml:space="preserve">] at </w:t>
      </w:r>
      <w:r>
        <w:rPr>
          <w:u w:val="single"/>
        </w:rPr>
        <w:t xml:space="preserve">a specific other</w:t>
      </w:r>
      <w:r>
        <w:t xml:space="preserve"> [</w:t>
      </w:r>
      <w:r>
        <w:rPr>
          <w:strike/>
        </w:rPr>
        <w:t xml:space="preserve">another</w:t>
      </w:r>
      <w:r>
        <w:t xml:space="preserve">] person, knowingly engages in conduct that:</w:t>
      </w:r>
    </w:p>
    <w:p w:rsidR="003F3435" w:rsidRDefault="0032493E">
      <w:pPr>
        <w:spacing w:line="480" w:lineRule="auto"/>
        <w:ind w:firstLine="1440"/>
        <w:jc w:val="both"/>
      </w:pPr>
      <w:r>
        <w:t xml:space="preserve">(1)</w:t>
      </w:r>
      <w:r xml:space="preserve">
        <w:t> </w:t>
      </w:r>
      <w:r xml:space="preserve">
        <w:t> </w:t>
      </w:r>
      <w:r>
        <w:t xml:space="preserve">constitutes an offense under Section 42.07, or that the actor knows or reasonably should know the other person will regard as threatening:</w:t>
      </w:r>
    </w:p>
    <w:p w:rsidR="003F3435" w:rsidRDefault="0032493E">
      <w:pPr>
        <w:spacing w:line="480" w:lineRule="auto"/>
        <w:ind w:firstLine="2160"/>
        <w:jc w:val="both"/>
      </w:pPr>
      <w:r>
        <w:t xml:space="preserve">(A)</w:t>
      </w:r>
      <w:r xml:space="preserve">
        <w:t> </w:t>
      </w:r>
      <w:r xml:space="preserve">
        <w:t> </w:t>
      </w:r>
      <w:r>
        <w:t xml:space="preserve">bodily injury or death for the other person; </w:t>
      </w:r>
      <w:r>
        <w:rPr>
          <w:u w:val="single"/>
        </w:rPr>
        <w:t xml:space="preserve">or</w:t>
      </w:r>
    </w:p>
    <w:p w:rsidR="003F3435" w:rsidRDefault="0032493E">
      <w:pPr>
        <w:spacing w:line="480" w:lineRule="auto"/>
        <w:ind w:firstLine="2160"/>
        <w:jc w:val="both"/>
      </w:pPr>
      <w:r>
        <w:t xml:space="preserve">(B)</w:t>
      </w:r>
      <w:r xml:space="preserve">
        <w:t> </w:t>
      </w:r>
      <w:r xml:space="preserve">
        <w:t> </w:t>
      </w:r>
      <w:r>
        <w:rPr>
          <w:u w:val="single"/>
        </w:rPr>
        <w:t xml:space="preserve">that an offense will be committed against:</w:t>
      </w:r>
    </w:p>
    <w:p w:rsidR="003F3435" w:rsidRDefault="0032493E">
      <w:pPr>
        <w:spacing w:line="480" w:lineRule="auto"/>
        <w:ind w:firstLine="2880"/>
        <w:jc w:val="both"/>
      </w:pPr>
      <w:r>
        <w:rPr>
          <w:u w:val="single"/>
        </w:rPr>
        <w:t xml:space="preserve">(i)</w:t>
      </w:r>
      <w:r xml:space="preserve">
        <w:t> </w:t>
      </w:r>
      <w:r xml:space="preserve">
        <w:t> </w:t>
      </w:r>
      <w:r>
        <w:t xml:space="preserve">[</w:t>
      </w:r>
      <w:r>
        <w:rPr>
          <w:strike/>
        </w:rPr>
        <w:t xml:space="preserve">bodily injury or death for</w:t>
      </w:r>
      <w:r>
        <w:t xml:space="preserve">] a member of the other person's family or household</w:t>
      </w:r>
      <w:r>
        <w:rPr>
          <w:u w:val="single"/>
        </w:rPr>
        <w:t xml:space="preserve">;</w:t>
      </w:r>
      <w:r>
        <w:t xml:space="preserve"> [</w:t>
      </w:r>
      <w:r>
        <w:rPr>
          <w:strike/>
        </w:rPr>
        <w:t xml:space="preserve">or</w:t>
      </w:r>
      <w:r>
        <w:t xml:space="preserve">]</w:t>
      </w:r>
    </w:p>
    <w:p w:rsidR="003F3435" w:rsidRDefault="0032493E">
      <w:pPr>
        <w:spacing w:line="480" w:lineRule="auto"/>
        <w:ind w:firstLine="2880"/>
        <w:jc w:val="both"/>
      </w:pPr>
      <w:r>
        <w:rPr>
          <w:u w:val="single"/>
        </w:rPr>
        <w:t xml:space="preserve">(ii)</w:t>
      </w:r>
      <w:r xml:space="preserve">
        <w:t> </w:t>
      </w:r>
      <w:r xml:space="preserve">
        <w:t> </w:t>
      </w:r>
      <w:r>
        <w:t xml:space="preserve">[</w:t>
      </w:r>
      <w:r>
        <w:rPr>
          <w:strike/>
        </w:rPr>
        <w:t xml:space="preserve">for</w:t>
      </w:r>
      <w:r>
        <w:t xml:space="preserve">] an individual with whom the other person has a dating relationship; or</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xml:space="preserve">
        <w:rPr>
          <w:strike/>
        </w:rPr>
        <w:t> </w:t>
      </w:r>
      <w:r xml:space="preserve">
        <w:rPr>
          <w:strike/>
        </w:rPr>
        <w:t> </w:t>
      </w:r>
      <w:r>
        <w:rPr>
          <w:strike/>
        </w:rPr>
        <w:t xml:space="preserve">that an offense will be committed against</w:t>
      </w:r>
      <w:r>
        <w:t xml:space="preserve">] the other person's property;</w:t>
      </w:r>
    </w:p>
    <w:p w:rsidR="003F3435" w:rsidRDefault="0032493E">
      <w:pPr>
        <w:spacing w:line="480" w:lineRule="auto"/>
        <w:ind w:firstLine="1440"/>
        <w:jc w:val="both"/>
      </w:pPr>
      <w:r>
        <w:t xml:space="preserve">(2)</w:t>
      </w:r>
      <w:r xml:space="preserve">
        <w:t> </w:t>
      </w:r>
      <w:r xml:space="preserve">
        <w:t> </w:t>
      </w:r>
      <w:r>
        <w:t xml:space="preserve">causes the other person, a member of the other person's family or household, or an individual with whom the other person has a dating relationship</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to be placed in fear of bodily injury or death or in fear that an offense will be committed against </w:t>
      </w:r>
      <w:r>
        <w:rPr>
          <w:u w:val="single"/>
        </w:rPr>
        <w:t xml:space="preserve">the other person, a member of the other person's family or household, or an individual with whom the other person has a dating relationship, or</w:t>
      </w:r>
      <w:r>
        <w:t xml:space="preserve"> the other person's property</w:t>
      </w:r>
      <w:r>
        <w:rPr>
          <w:u w:val="single"/>
        </w:rPr>
        <w:t xml:space="preserve">;</w:t>
      </w:r>
      <w:r>
        <w:t xml:space="preserve">[</w:t>
      </w:r>
      <w:r>
        <w:rPr>
          <w:strike/>
        </w:rPr>
        <w:t xml:space="preserv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to feel harassed, </w:t>
      </w:r>
      <w:r>
        <w:rPr>
          <w:u w:val="single"/>
        </w:rPr>
        <w:t xml:space="preserve">terrified, intimidated,</w:t>
      </w:r>
      <w:r>
        <w:t xml:space="preserve"> </w:t>
      </w:r>
      <w:r>
        <w:t xml:space="preserve">annoyed, alarmed, abused, tormented, embarrassed, or offended; and</w:t>
      </w:r>
    </w:p>
    <w:p w:rsidR="003F3435" w:rsidRDefault="0032493E">
      <w:pPr>
        <w:spacing w:line="480" w:lineRule="auto"/>
        <w:ind w:firstLine="1440"/>
        <w:jc w:val="both"/>
      </w:pPr>
      <w:r>
        <w:t xml:space="preserve">(3)</w:t>
      </w:r>
      <w:r xml:space="preserve">
        <w:t> </w:t>
      </w:r>
      <w:r xml:space="preserve">
        <w:t> </w:t>
      </w:r>
      <w:r>
        <w:t xml:space="preserve">would cause a reasonable person </w:t>
      </w:r>
      <w:r>
        <w:rPr>
          <w:u w:val="single"/>
        </w:rPr>
        <w:t xml:space="preserve">under circumstances similar to the circumstances of the other person</w:t>
      </w:r>
      <w:r>
        <w:t xml:space="preserve"> to:</w:t>
      </w:r>
    </w:p>
    <w:p w:rsidR="003F3435" w:rsidRDefault="0032493E">
      <w:pPr>
        <w:spacing w:line="480" w:lineRule="auto"/>
        <w:ind w:firstLine="2160"/>
        <w:jc w:val="both"/>
      </w:pPr>
      <w:r>
        <w:t xml:space="preserve">(A)</w:t>
      </w:r>
      <w:r xml:space="preserve">
        <w:t> </w:t>
      </w:r>
      <w:r xml:space="preserve">
        <w:t> </w:t>
      </w:r>
      <w:r>
        <w:t xml:space="preserve">fear bodily injury or death for </w:t>
      </w:r>
      <w:r>
        <w:rPr>
          <w:u w:val="single"/>
        </w:rPr>
        <w:t xml:space="preserve">the person</w:t>
      </w:r>
      <w:r>
        <w:t xml:space="preserve"> [</w:t>
      </w:r>
      <w:r>
        <w:rPr>
          <w:strike/>
        </w:rPr>
        <w:t xml:space="preserve">himself or herself</w:t>
      </w:r>
      <w:r>
        <w:t xml:space="preserve">];</w:t>
      </w:r>
    </w:p>
    <w:p w:rsidR="003F3435" w:rsidRDefault="0032493E">
      <w:pPr>
        <w:spacing w:line="480" w:lineRule="auto"/>
        <w:ind w:firstLine="2160"/>
        <w:jc w:val="both"/>
      </w:pPr>
      <w:r>
        <w:t xml:space="preserve">(B)</w:t>
      </w:r>
      <w:r xml:space="preserve">
        <w:t> </w:t>
      </w:r>
      <w:r xml:space="preserve">
        <w:t> </w:t>
      </w:r>
      <w:r>
        <w:t xml:space="preserve">fear </w:t>
      </w:r>
      <w:r>
        <w:rPr>
          <w:u w:val="single"/>
        </w:rPr>
        <w:t xml:space="preserve">that an offense will be committed against</w:t>
      </w:r>
      <w:r>
        <w:t xml:space="preserve"> </w:t>
      </w:r>
      <w:r>
        <w:t xml:space="preserve">[</w:t>
      </w:r>
      <w:r>
        <w:rPr>
          <w:strike/>
        </w:rPr>
        <w:t xml:space="preserve">bodily injury or death for</w:t>
      </w:r>
      <w:r>
        <w:t xml:space="preserve">] a member of the person's family or household or [</w:t>
      </w:r>
      <w:r>
        <w:rPr>
          <w:strike/>
        </w:rPr>
        <w:t xml:space="preserve">for</w:t>
      </w:r>
      <w:r>
        <w:t xml:space="preserve">] an individual with whom the person has a dating relationship;</w:t>
      </w:r>
    </w:p>
    <w:p w:rsidR="003F3435" w:rsidRDefault="0032493E">
      <w:pPr>
        <w:spacing w:line="480" w:lineRule="auto"/>
        <w:ind w:firstLine="2160"/>
        <w:jc w:val="both"/>
      </w:pPr>
      <w:r>
        <w:t xml:space="preserve">(C)</w:t>
      </w:r>
      <w:r xml:space="preserve">
        <w:t> </w:t>
      </w:r>
      <w:r xml:space="preserve">
        <w:t> </w:t>
      </w:r>
      <w:r>
        <w:t xml:space="preserve">fear that an offense will be committed against the person's property; or</w:t>
      </w:r>
    </w:p>
    <w:p w:rsidR="003F3435" w:rsidRDefault="0032493E">
      <w:pPr>
        <w:spacing w:line="480" w:lineRule="auto"/>
        <w:ind w:firstLine="2160"/>
        <w:jc w:val="both"/>
      </w:pPr>
      <w:r>
        <w:t xml:space="preserve">(D)</w:t>
      </w:r>
      <w:r xml:space="preserve">
        <w:t> </w:t>
      </w:r>
      <w:r xml:space="preserve">
        <w:t> </w:t>
      </w:r>
      <w:r>
        <w:t xml:space="preserve">feel harassed, </w:t>
      </w:r>
      <w:r>
        <w:rPr>
          <w:u w:val="single"/>
        </w:rPr>
        <w:t xml:space="preserve">terrified, intimidated,</w:t>
      </w:r>
      <w:r>
        <w:t xml:space="preserve"> </w:t>
      </w:r>
      <w:r>
        <w:t xml:space="preserve">annoyed, alarmed, abused, tormented, embarrassed, or offended.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1717 passed the Senate on April</w:t>
      </w:r>
      <w:r xml:space="preserve">
        <w:t> </w:t>
      </w:r>
      <w:r>
        <w:t xml:space="preserve">12,</w:t>
      </w:r>
      <w:r xml:space="preserve">
        <w:t> </w:t>
      </w:r>
      <w:r>
        <w:t xml:space="preserve">2023, by the following vote:  Yeas</w:t>
      </w:r>
      <w:r xml:space="preserve">
        <w:t> </w:t>
      </w:r>
      <w:r>
        <w:t xml:space="preserve">31, Nays</w:t>
      </w:r>
      <w:r xml:space="preserve">
        <w:t> </w:t>
      </w:r>
      <w:r>
        <w:t xml:space="preserve">0; and that the Senate concurred in House amendment on</w:t>
      </w:r>
      <w:r xml:space="preserve">
        <w:t> </w:t>
      </w:r>
      <w:r>
        <w:t xml:space="preserve">May</w:t>
      </w:r>
      <w:r xml:space="preserve">
        <w:t> </w:t>
      </w:r>
      <w:r>
        <w:t xml:space="preserve">25,</w:t>
      </w:r>
      <w:r xml:space="preserve">
        <w:t> </w:t>
      </w:r>
      <w:r>
        <w:t xml:space="preserve">2023,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1717 passed the House, with amendment, on May</w:t>
      </w:r>
      <w:r xml:space="preserve">
        <w:t> </w:t>
      </w:r>
      <w:r>
        <w:t xml:space="preserve">23,</w:t>
      </w:r>
      <w:r xml:space="preserve">
        <w:t> </w:t>
      </w:r>
      <w:r>
        <w:t xml:space="preserve">2023, by the following vote:  Yeas</w:t>
      </w:r>
      <w:r xml:space="preserve">
        <w:t> </w:t>
      </w:r>
      <w:r>
        <w:t xml:space="preserve">109, Nays</w:t>
      </w:r>
      <w:r xml:space="preserve">
        <w:t> </w:t>
      </w:r>
      <w:r>
        <w:t xml:space="preserve">28, two</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