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1731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human sexuality instruction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28.004, </w:t>
      </w:r>
      <w:r>
        <w:t xml:space="preserve"> </w:t>
      </w:r>
      <w:r>
        <w:t xml:space="preserve">Education Code, is amended by amending Subsection (h) to read as follows:</w:t>
      </w:r>
    </w:p>
    <w:p w:rsidR="003F3435" w:rsidRDefault="0032493E">
      <w:pPr>
        <w:spacing w:line="480" w:lineRule="auto"/>
        <w:ind w:firstLine="720"/>
        <w:jc w:val="both"/>
      </w:pPr>
      <w:r>
        <w:t xml:space="preserve">(h) </w:t>
      </w:r>
      <w:r>
        <w:t xml:space="preserve"> </w:t>
      </w:r>
      <w:r>
        <w:t xml:space="preserve">The board of trustees shall determine the specific content of the district's instruction in human sexuality, in accordance with this section</w:t>
      </w:r>
      <w:r>
        <w:rPr>
          <w:u w:val="single"/>
        </w:rPr>
        <w:t xml:space="preserve">, except that such instruction shall not include matters, topics, or subjects not included in the Texas Essential Knowledge and Skills for Health Education in effect as of September 1, 2023</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