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88R1529 MLH-F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Hughes</w:t>
      </w:r>
      <w:r xml:space="preserve">
        <w:tab wTab="150" tlc="none" cTlc="0"/>
      </w:r>
      <w:r>
        <w:t xml:space="preserve">S.B.</w:t>
      </w:r>
      <w:r xml:space="preserve">
        <w:t> </w:t>
      </w:r>
      <w:r>
        <w:t xml:space="preserve">No.</w:t>
      </w:r>
      <w:r xml:space="preserve">
        <w:t> </w:t>
      </w:r>
      <w:r>
        <w:t xml:space="preserve">1743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increasing the maximum reference base amount for certain consumer loans.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342.251, Finance Code, is amended to read as follows:</w:t>
      </w:r>
    </w:p>
    <w:p w:rsidR="003F3435" w:rsidRDefault="0032493E">
      <w:pPr>
        <w:spacing w:line="480" w:lineRule="auto"/>
        <w:ind w:firstLine="720"/>
        <w:jc w:val="both"/>
      </w:pPr>
      <w:r>
        <w:t xml:space="preserve">Sec.</w:t>
      </w:r>
      <w:r xml:space="preserve">
        <w:t> </w:t>
      </w:r>
      <w:r>
        <w:t xml:space="preserve">342.251.</w:t>
      </w:r>
      <w:r xml:space="preserve">
        <w:t> </w:t>
      </w:r>
      <w:r xml:space="preserve">
        <w:t> </w:t>
      </w:r>
      <w:r>
        <w:t xml:space="preserve">MAXIMUM CASH ADVANCE.  The maximum cash advance of a loan made under this subchapter is an amount computed under Subchapter C, Chapter 341, using the reference base amount of $100, except that for loans that are subject to Section 342.259 the reference base amount is </w:t>
      </w:r>
      <w:r>
        <w:rPr>
          <w:u w:val="single"/>
        </w:rPr>
        <w:t xml:space="preserve">$300</w:t>
      </w:r>
      <w:r>
        <w:t xml:space="preserve"> [</w:t>
      </w:r>
      <w:r>
        <w:rPr>
          <w:strike/>
        </w:rPr>
        <w:t xml:space="preserve">$200</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342.259(a), Finance Code, is amended to read as follows:</w:t>
      </w:r>
    </w:p>
    <w:p w:rsidR="003F3435" w:rsidRDefault="0032493E">
      <w:pPr>
        <w:spacing w:line="480" w:lineRule="auto"/>
        <w:ind w:firstLine="720"/>
        <w:jc w:val="both"/>
      </w:pPr>
      <w:r>
        <w:t xml:space="preserve">(a)</w:t>
      </w:r>
      <w:r xml:space="preserve">
        <w:t> </w:t>
      </w:r>
      <w:r xml:space="preserve">
        <w:t> </w:t>
      </w:r>
      <w:r>
        <w:t xml:space="preserve">Instead of the charges authorized by Sections 342.201 and 342.252, a loan made under this subchapter with a maximum cash advance computed under Subchapter C, Chapter 341, using a reference base amount that is more than $100 but not more than </w:t>
      </w:r>
      <w:r>
        <w:rPr>
          <w:u w:val="single"/>
        </w:rPr>
        <w:t xml:space="preserve">$300</w:t>
      </w:r>
      <w:r>
        <w:t xml:space="preserve"> [</w:t>
      </w:r>
      <w:r>
        <w:rPr>
          <w:strike/>
        </w:rPr>
        <w:t xml:space="preserve">$200</w:t>
      </w:r>
      <w:r>
        <w:t xml:space="preserve">], may provide for:</w:t>
      </w:r>
    </w:p>
    <w:p w:rsidR="003F3435" w:rsidRDefault="0032493E">
      <w:pPr>
        <w:spacing w:line="480" w:lineRule="auto"/>
        <w:ind w:firstLine="1440"/>
        <w:jc w:val="both"/>
      </w:pPr>
      <w:r>
        <w:t xml:space="preserve">(1)</w:t>
      </w:r>
      <w:r xml:space="preserve">
        <w:t> </w:t>
      </w:r>
      <w:r xml:space="preserve">
        <w:t> </w:t>
      </w:r>
      <w:r>
        <w:t xml:space="preserve">an acquisition charge that is not more than $10; and</w:t>
      </w:r>
    </w:p>
    <w:p w:rsidR="003F3435" w:rsidRDefault="0032493E">
      <w:pPr>
        <w:spacing w:line="480" w:lineRule="auto"/>
        <w:ind w:firstLine="1440"/>
        <w:jc w:val="both"/>
      </w:pPr>
      <w:r>
        <w:t xml:space="preserve">(2)</w:t>
      </w:r>
      <w:r xml:space="preserve">
        <w:t> </w:t>
      </w:r>
      <w:r xml:space="preserve">
        <w:t> </w:t>
      </w:r>
      <w:r>
        <w:t xml:space="preserve">an installment account handling charge that is not more than the ratio of $4 a month for each $100 of cash advance.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 loan made on or after the effective date of this Act. A loan made before the effective date of this Act is governed by the law in effect on the date the loan was made, and the former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1743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