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Campbell, Nichols</w:t>
      </w:r>
      <w:r xml:space="preserve">
        <w:tab wTab="150" tlc="none" cTlc="0"/>
      </w:r>
      <w:r>
        <w:t xml:space="preserve">S.B.</w:t>
      </w:r>
      <w:r xml:space="preserve">
        <w:t> </w:t>
      </w:r>
      <w:r>
        <w:t xml:space="preserve">No.</w:t>
      </w:r>
      <w:r xml:space="preserve">
        <w:t> </w:t>
      </w:r>
      <w:r>
        <w:t xml:space="preserve">1751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20,</w:t>
      </w:r>
      <w:r xml:space="preserve">
        <w:t> </w:t>
      </w:r>
      <w:r>
        <w:t xml:space="preserve">2023, read first time and referred to Committee on Business &amp; Commerce;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1751</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and tax treatment of facilities in the ERCOT power region that demand a large load of interruptible power.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VIRTUAL CURRENCY MINING AS DEMAND RESPONSE.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the independent organization certified under Section 39.151 for the ERCOT power region to ensure that any demand response program operated by the independent organization to respond to emergencies that provides compensation for load reductions is open to participation by a virtual currency mining facility that is registered as a large flexible load under Section 39.360 only if the anticipated demand provided under Section 39.360(b) for all facilities of that type participating in the program is less than 10 percent of the total load required by all loads in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39, Utilities Code, is amended by adding Section 39.360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39.360.</w:t>
      </w:r>
      <w:r>
        <w:rPr>
          <w:u w:val="single"/>
        </w:rPr>
        <w:t xml:space="preserve"> </w:t>
      </w:r>
      <w:r>
        <w:rPr>
          <w:u w:val="single"/>
        </w:rPr>
        <w:t xml:space="preserve"> </w:t>
      </w:r>
      <w:r>
        <w:rPr>
          <w:u w:val="single"/>
        </w:rPr>
        <w:t xml:space="preserve">LARGE FLEXIBLE LOAD REGISTRATION.  (a) </w:t>
      </w:r>
      <w:r>
        <w:rPr>
          <w:u w:val="single"/>
        </w:rPr>
        <w:t xml:space="preserve"> </w:t>
      </w:r>
      <w:r>
        <w:rPr>
          <w:u w:val="single"/>
        </w:rPr>
        <w:t xml:space="preserve">The commission by rule shall require a person operating a facility who enters into an agreement for retail electric service in the ERCOT power region to register the facility receiving service as a large flexible load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anticipates that the facility will require a total load of more than 10 megawatts before the second anniversary of the date the agreement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load is interruptible;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facility is a computing load.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 require a person described by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the large flexible load with the commission not later than one business day after the date the agreement begins;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location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anticipated demand from the facility for the five-year period beginning on the date of the registration.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312, Tax Code, is amended by adding Section 312.0022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312.0022.</w:t>
      </w:r>
      <w:r>
        <w:rPr>
          <w:u w:val="single"/>
        </w:rPr>
        <w:t xml:space="preserve"> </w:t>
      </w:r>
      <w:r>
        <w:rPr>
          <w:u w:val="single"/>
        </w:rPr>
        <w:t xml:space="preserve"> </w:t>
      </w:r>
      <w:r>
        <w:rPr>
          <w:u w:val="single"/>
        </w:rPr>
        <w:t xml:space="preserve">PROHIBITION ON ABATEMENT OF TAXES ON CERTAIN VIRTUAL CURRENCY MINING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"Virtual currency mining facility" means a facility that uses electronic equipment to add virtual currency transactions to a distributed ledger.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virtual currency mining facility registered as a large flexible load under Section 39.360, Utilities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taxing unit may not enter into an agreement under this chapter to exempt from taxation a portion of the value of real property on which a virtual currency mining facility is located or is planned to be located during the term of the agreement, or of tangible personal property that is located or is planned to be located on the real property during that term.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312.0022, Tax Code, as added by this Act, applies only to an agreement entered into under Chapter 312, Tax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