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88R12510 MZM-D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Hall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1753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prohibition of certain public health mandates by governmental entities and businesses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H, Chapter 418, Government Code, is amended by adding Section 418.196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418.196.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LIMITATION ON AUTHORITY OF GOVERNMENTAL ENTITY TO ISSUE CERTAIN PUBLIC HEALTH MANDATES.  (a) 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"COVID-19" means the 2019 novel coronavirus disease.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"Governmental entity" means: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state;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municipality, county, school district, public health authority, or other political subdivision of this state;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open-enrollment charter school;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officer or employee of this state, a political subdivision of this state, or an open-enrollment charter school.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 and except as provided by Subsection (c), a governmental entity may not adopt or enforce an ordinance, order, or other measure that requires an individual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wear a face covering;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 vaccinated against COVID-19.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limitation prescribed by Subsection (b)(1) does not apply to an ordinance, order, or other measure that relates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 supported living center, as defined by Section 531.002, Health and Safety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hospital that is owned or operated by this state, an agency of this state, or the federal government;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facility operated by the Texas Department of Criminal Justice or the Texas Juvenile Justice Department, or a municipal or county jail, subject to any applicable guidance provided by the Commission on Jail Standards.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161.0085(c), (d), and (e), Health and Safety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</w:t>
      </w:r>
      <w:r>
        <w:rPr>
          <w:u w:val="single"/>
        </w:rPr>
        <w:t xml:space="preserve">public or private entity</w:t>
      </w:r>
      <w:r>
        <w:t xml:space="preserve"> [</w:t>
      </w:r>
      <w:r>
        <w:rPr>
          <w:strike/>
        </w:rPr>
        <w:t xml:space="preserve">business</w:t>
      </w:r>
      <w:r>
        <w:t xml:space="preserve">] in this state may not require a </w:t>
      </w:r>
      <w:r>
        <w:rPr>
          <w:u w:val="single"/>
        </w:rPr>
        <w:t xml:space="preserve">person</w:t>
      </w:r>
      <w:r>
        <w:t xml:space="preserve"> [</w:t>
      </w:r>
      <w:r>
        <w:rPr>
          <w:strike/>
        </w:rPr>
        <w:t xml:space="preserve">customer</w:t>
      </w:r>
      <w:r>
        <w:t xml:space="preserve">] to provide any documentation certifying the </w:t>
      </w:r>
      <w:r>
        <w:rPr>
          <w:u w:val="single"/>
        </w:rPr>
        <w:t xml:space="preserve">person's</w:t>
      </w:r>
      <w:r>
        <w:t xml:space="preserve"> [</w:t>
      </w:r>
      <w:r>
        <w:rPr>
          <w:strike/>
        </w:rPr>
        <w:t xml:space="preserve">customer's</w:t>
      </w:r>
      <w:r>
        <w:t xml:space="preserve">] COVID-19 vaccination or post-transmission recovery on entry to, to gain access to, or to receive service from the </w:t>
      </w:r>
      <w:r>
        <w:rPr>
          <w:u w:val="single"/>
        </w:rPr>
        <w:t xml:space="preserve">entity</w:t>
      </w:r>
      <w:r>
        <w:t xml:space="preserve"> [</w:t>
      </w:r>
      <w:r>
        <w:rPr>
          <w:strike/>
        </w:rPr>
        <w:t xml:space="preserve">business</w:t>
      </w:r>
      <w:r>
        <w:t xml:space="preserve">].  A business that fails to comply with this subsection is not eligible to receive </w:t>
      </w:r>
      <w:r>
        <w:rPr>
          <w:u w:val="single"/>
        </w:rPr>
        <w:t xml:space="preserve">public money, use a facility financed wholly or partly using public money, </w:t>
      </w:r>
      <w:r>
        <w:t xml:space="preserve"> </w:t>
      </w:r>
      <w:r>
        <w:t xml:space="preserve"> [</w:t>
      </w:r>
      <w:r>
        <w:rPr>
          <w:strike/>
        </w:rPr>
        <w:t xml:space="preserve">a grant</w:t>
      </w:r>
      <w:r>
        <w:t xml:space="preserve">] or enter into a contract payable with </w:t>
      </w:r>
      <w:r>
        <w:rPr>
          <w:u w:val="single"/>
        </w:rPr>
        <w:t xml:space="preserve">public money</w:t>
      </w:r>
      <w:r>
        <w:t xml:space="preserve"> [</w:t>
      </w:r>
      <w:r>
        <w:rPr>
          <w:strike/>
        </w:rPr>
        <w:t xml:space="preserve">state funds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Notwithstanding any other law, each appropriate state agency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shall ensure that </w:t>
      </w:r>
      <w:r>
        <w:rPr>
          <w:u w:val="single"/>
        </w:rPr>
        <w:t xml:space="preserve">public and private entities</w:t>
      </w:r>
      <w:r>
        <w:t xml:space="preserve"> [</w:t>
      </w:r>
      <w:r>
        <w:rPr>
          <w:strike/>
        </w:rPr>
        <w:t xml:space="preserve">businesses</w:t>
      </w:r>
      <w:r>
        <w:t xml:space="preserve">] in this state comply with Subsection (c)</w:t>
      </w:r>
      <w:r>
        <w:rPr>
          <w:u w:val="single"/>
        </w:rPr>
        <w:t xml:space="preserve">;</w:t>
      </w:r>
      <w:r>
        <w:t xml:space="preserve">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may require compliance with that subsection as a condition for </w:t>
      </w:r>
      <w:r>
        <w:rPr>
          <w:u w:val="single"/>
        </w:rPr>
        <w:t xml:space="preserve">issuing</w:t>
      </w:r>
      <w:r>
        <w:t xml:space="preserve"> a license, permit, or other state authorization </w:t>
      </w:r>
      <w:r>
        <w:rPr>
          <w:u w:val="single"/>
        </w:rPr>
        <w:t xml:space="preserve">to a business entity</w:t>
      </w:r>
      <w:r>
        <w:t xml:space="preserve"> necessary for conducting business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This section may not be construed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restrict a </w:t>
      </w:r>
      <w:r>
        <w:rPr>
          <w:u w:val="single"/>
        </w:rPr>
        <w:t xml:space="preserve">public or private entity</w:t>
      </w:r>
      <w:r>
        <w:t xml:space="preserve"> [</w:t>
      </w:r>
      <w:r>
        <w:rPr>
          <w:strike/>
        </w:rPr>
        <w:t xml:space="preserve">business</w:t>
      </w:r>
      <w:r>
        <w:t xml:space="preserve">] from implementing COVID-19 screening and infection control protocols in accordance with state and federal law to protect public health;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prohibit a requirement to provide documentation necessary for the administration of a COVID-19 vaccination;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 xml:space="preserve">
        <w:t> </w:t>
      </w:r>
      <w:r xml:space="preserve">
        <w:t> </w:t>
      </w:r>
      <w:r>
        <w:t xml:space="preserve">interfere with an individual's right to access the individual's personal health information under federal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1753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