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1759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history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442, Government Code, is amended by adding Section 442.0205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442.0205.</w:t>
      </w:r>
      <w:r>
        <w:rPr>
          <w:u w:val="single"/>
        </w:rPr>
        <w:t xml:space="preserve"> </w:t>
      </w:r>
      <w:r>
        <w:rPr>
          <w:u w:val="single"/>
        </w:rPr>
        <w:t xml:space="preserve"> </w:t>
      </w:r>
      <w:r>
        <w:rPr>
          <w:u w:val="single"/>
        </w:rPr>
        <w:t xml:space="preserve">TEXAS HISTORY AWARD AND GRANT PROGRAM.  (a)  The commission shall create and administer a program for awarding grants to nonprofit entities for the purpose of promoting educational engagement with the history of this state. The grants must be awarded annually to a nonprofit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hosts a statewide Texas history competition for school-aged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publishes works on Texas history by students or faculty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procedures to administer the grant program, including procedures for applying for a grant under this subsection.  The commission shall enter into a contract that includes performance requirements with each grant recipient.  The commission shall monitor and enforce the terms of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funds appropriated for the purposes of this section, the commission may solicit gifts, grants, and donations from any public or private source for the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Historical Commission shall establish the procedures for applying for a grant under Section 442.0205, Government Code, as added by this Act, not later than October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