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88R1285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1760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public school classroom safety review and referral program for students who engage in violent criminal conduct;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37.088.</w:t>
      </w:r>
      <w:r>
        <w:rPr>
          <w:u w:val="single"/>
        </w:rPr>
        <w:t xml:space="preserve"> </w:t>
      </w:r>
      <w:r>
        <w:rPr>
          <w:u w:val="single"/>
        </w:rPr>
        <w:t xml:space="preserve"> </w:t>
      </w:r>
      <w:r>
        <w:rPr>
          <w:u w:val="single"/>
        </w:rPr>
        <w:t xml:space="preserve">CLASSROOM SAFETY REVIEW AND REFERRAL PROGRAM.  (a) If, after an investigation is completed, the principal of a public primary or secondary school has reasonable grounds to believe that a student engaged in violent criminal conduct, including assaultive conduct, the principal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refer the student to the classroom safety review committee established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 report to any school district police department, if applicable, or the police department of the municipality in which the school is located or, if the school is not in a municipality, the sheriff of the county in which the school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beginning of each school year, a public primary or secondary school shall establish a classroom safety review committee that consists of five classroom teachers who are selected from all classroom teachers employed by the school through a nomination and election process, as determined by the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student is referred to the classroom safety review committee under Subsection (a)(1), the committee shall review all electronic, written, and verbal evidence or testimony or video provided to the committee and interview any eyewitnesses. After review, the committee shall, by majority vote, refer the student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designated by the school as the juvenile diversion administrator under Subsection (d);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classroom safety referral board established under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primary or secondary school shall designate a person as the juvenile diversion administrator for the school. If the classroom safety review committee refers a student to the juvenile diversion administrator under Subsection (c)(1), the juvenile diversion administrator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student to perform a certain number of hours of community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student to participate in tutoring;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 determination that the student is not required to take any additional actions.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public primary or secondary school shall establish a classroom safety referral board that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teachers who serve on the classroom safety review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assistant district attorney of the county in which the school is located;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investigator from the sheriff's office in the  county in which the school is located;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parent of a student enrolled at the school selected by the board of trustees of the school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classroom safety review committee refers a student to the classroom safety referral board, the board shall review all electronic, written, and verbal evidence or testimony or video provided to the board and may hear new testimony from the student or an eyewitness of the conduct. After review, the board, by majority vote,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the student's conduct to the local law enforcement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 the student to the juvenile diversion administrator under Subsection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Materials and information provided to or produced by the classroom safety review committee or the classroom safety referral board during a student review under this section must be maintained in the student's school record until the student's 24th birthday.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commits an offense if the person destroys material or information described by Subsection (g) before the period of maintenance required under that subsection has expired. An offense under this subsection is a Class A misdemeanor.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an educator commits an offense under Subsection (h), the educator may be subject to termination or suspension of the educator's contract.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testimony provided by an educator to the classroom safety review committee or the classroom safety referral board under this section is confidential and may not be disclosed to any other person.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