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infrastructure planning and lot frontages in the unincorporated area of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232, Local Government Code, is amended to read as follows:</w:t>
      </w:r>
    </w:p>
    <w:p w:rsidR="003F3435" w:rsidRDefault="0032493E">
      <w:pPr>
        <w:spacing w:line="480" w:lineRule="auto"/>
        <w:ind w:firstLine="720"/>
        <w:jc w:val="both"/>
      </w:pPr>
      <w:r>
        <w:t xml:space="preserve">SUBCHAPTER E.  INFRASTRUCTURE PLANNING PROVISIONS [</w:t>
      </w:r>
      <w:r>
        <w:rPr>
          <w:strike/>
        </w:rPr>
        <w:t xml:space="preserve">IN CERTAIN URBAN 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232.101,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county that has a population of more than 370,000 and contains more than ten municipalities with a population of less than 2,000. After complying with the procedures described by Subsection (a), the commissioners court of a county may adopt additional rules governing plats and subdivisions of land within the unincorporated area of the county. The rules adopted under this subsection may include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lot frontage minimums;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road width requirements based on the lot density of a development;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ingress and egress requirements based on the lot density of a development.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232.103, Local Government Code, is amended to read as follows:</w:t>
      </w:r>
    </w:p>
    <w:p w:rsidR="003F3435" w:rsidRDefault="0032493E">
      <w:pPr>
        <w:spacing w:line="480" w:lineRule="auto"/>
        <w:ind w:firstLine="720"/>
        <w:jc w:val="both"/>
      </w:pPr>
      <w:r>
        <w:t xml:space="preserve">Sec.</w:t>
      </w:r>
      <w:r xml:space="preserve">
        <w:t> </w:t>
      </w:r>
      <w:r>
        <w:t xml:space="preserve">232.103.</w:t>
      </w:r>
      <w:r xml:space="preserve">
        <w:t> </w:t>
      </w:r>
      <w:r xml:space="preserve">
        <w:t> </w:t>
      </w:r>
      <w:r>
        <w:t xml:space="preserve">LOT FRONTAGES.  </w:t>
      </w:r>
      <w:r>
        <w:rPr>
          <w:u w:val="single"/>
        </w:rPr>
        <w:t xml:space="preserve">(a)</w:t>
      </w:r>
      <w:r>
        <w:t xml:space="preserve">  By an order adopted and entered in the minutes of the commissioners court and after a notice is published in a newspaper of general circulation in the county, the commissioners court may adopt reasonable standards for minimum lot frontages on existing county roads and establish reasonable standards for the lot frontages in relation to curves 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a county that has a population of more than 370,000 and contains more than ten municipalities with a population of less than 2,000. After complying with the procedures described by Subsection (a), the commissioners court of a county may adopt reasonable standards for minimum lot frontages on planned roads within a subdivision for which a plat is required under this chapter and establish reasonable standards for the lot frontages in relation to curves in the road.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