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88R3231 KBB-D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Creighton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1766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indemnification and duties of real property appraisers under certain governmental contracts.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271, Local Government Code, is amended by adding Section 271.9041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271.9041.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APPRAISAL SERVICE CONTRACTS; INDEMNIFICATION LIMITATIONS; DUTIES OF APPRAISER. (a) In this section, "governmental agency" has the meaning assigned by Section 271.003.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contract for appraisal services for real property entered into by a licensed appraiser and a governmental agency.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provision of a contract for appraisal services, or a promise in connection with the contract, is void and unenforceable if the provision requires a licensed appraiser to indemnify or hold harmless a governmental agency against liability for damage, other than damage to the extent the damage is caused by or results from an act of: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negligence;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intentional tort;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intellectual property infringement;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failure to pay: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subcontractor or supplier committed by the appraiser or the appraiser's agent;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consultant under contract;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another person over which the appraiser exercises control.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Except as provided by Subsection (e)(2), a provision of a contract for appraisal services, or a promise in connection with the contract, is void and unenforceable if the provision requires a licensed appraiser to defend a person against a claim based wholly or partly on the negligence or fault of, or breach of contract by: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governmental agency that is a party to the contract;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or agent of the governmental agency; or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another person over which the governmental agency exercises control, other than the appraiser or an employee, agent, or consultant of the appraiser.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contract for appraisal services may require: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reimbursement of a governmental agency's reasonable attorney's fees in proportion to an appraiser's liability;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appraiser to name a governmental agency as an additional insured under the appraiser's general liability insurance policy and provide any defense provided by the policy.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contract for appraisal services must require a licensed appraiser to perform services: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with the professional skill and care ordinarily provided by competent appraisers under the same or similar circumstances and professional license;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as expeditiously as is prudent considering the ordinary professional skill and care of a competent appraiser.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(g)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provision of a contract for appraisal services establishing a different standard of care than a standard described by Subsection (f) is void and unenforceable. If a contract contains a void and unenforceable provision described by this subsection, the standard of care described by Subsection (f) applies.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does not prohibit a governmental agency from including in and enforcing a provision in a contract for appraisal services that relates to the scope, fees, and schedule of a project in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271.9041, Local Government Code, as added by this Act, applies only to a contract for appraisal services for which a request for proposals or a request for qualifications is first published or distributed on or after the effective date of this</w:t>
      </w:r>
      <w:r xml:space="preserve">
        <w:t> </w:t>
      </w:r>
      <w:r>
        <w:t xml:space="preserve">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1766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