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Jurisprudence;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rereferred to Committee on State Affairs;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1;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an electronic signature, as defined by Section 322.002,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documents that are tangible instruments, an online notary public shall keep a record of the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notarial certificate executed in the form described by Subsection (b)(3)(C) may be relied on as conclusive evidence of compliance with Subsections (b)(2) and (b)(3)(B).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