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88R3428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12.101(b-0), Education Code, is amended to read as follows:</w:t>
      </w:r>
    </w:p>
    <w:p w:rsidR="003F3435" w:rsidRDefault="0032493E">
      <w:pPr>
        <w:spacing w:line="480" w:lineRule="auto"/>
        <w:ind w:firstLine="720"/>
        <w:jc w:val="both"/>
      </w:pPr>
      <w:r>
        <w:t xml:space="preserve">(b-0)</w:t>
      </w:r>
      <w:r xml:space="preserve">
        <w:t> </w:t>
      </w:r>
      <w:r xml:space="preserve">
        <w:t> </w:t>
      </w:r>
      <w:r>
        <w:t xml:space="preserve">The commissioner shall notify the State Board of Education of each charter the commissioner proposes to grant under this subchapter.  Unless, before the 90th day after the date on which the board receives the notice from the commissioner, </w:t>
      </w:r>
      <w:r>
        <w:rPr>
          <w:u w:val="single"/>
        </w:rPr>
        <w:t xml:space="preserve">two-thirds</w:t>
      </w:r>
      <w:r>
        <w:t xml:space="preserve"> [</w:t>
      </w:r>
      <w:r>
        <w:rPr>
          <w:strike/>
        </w:rPr>
        <w:t xml:space="preserve">a majority</w:t>
      </w:r>
      <w:r>
        <w:t xml:space="preserve">] of the members of the board present and voting vote against the grant of that charter, the commissioner's proposal to grant the charter takes effect.  The board may not deliberate or vote on any grant of a charter that is not proposed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