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88R12158 CXP-F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LaMantia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1798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permissible uses of the bilingual education allotment provided under the Foundation School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48.105(b),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 least 55 percent of the funds allocated under this section must be used in providing bilingual education or special language programs under Subchapter B, Chapter 29. A district's bilingual education or special language allocation may be used only for program and student evaluation, instructional materials and equipment, staff development, supplemental staff expenses, </w:t>
      </w:r>
      <w:r>
        <w:rPr>
          <w:u w:val="single"/>
        </w:rPr>
        <w:t xml:space="preserve">salaries</w:t>
      </w:r>
      <w:r>
        <w:t xml:space="preserve"> [</w:t>
      </w:r>
      <w:r>
        <w:rPr>
          <w:strike/>
        </w:rPr>
        <w:t xml:space="preserve">salary supplements</w:t>
      </w:r>
      <w:r>
        <w:t xml:space="preserve">] for teachers, incremental costs associated with providing smaller class sizes, and other supplies required for quality instruction.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