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1802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administrative procedures in the architectural barriers program at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469.058(a),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u w:val="single"/>
        </w:rPr>
        <w:t xml:space="preserve">or executive director</w:t>
      </w:r>
      <w:r>
        <w:t xml:space="preserve"> may impose an administrative penalty under Subchapter F, Chapter 51, Occupations Code, on a building owner for a violation of this chapter or a rule adopted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469.106(a),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chapter, the commission shall require complete compliance with the standards and specifications adopted by the commission under this chapter that apply specifically to a building or facility occupied by a state agency involved in extending direct services to persons with mobility impairments. Those standards and specifications also apply to a building or facility occupied by the </w:t>
      </w:r>
      <w:r>
        <w:rPr>
          <w:u w:val="single"/>
        </w:rPr>
        <w:t xml:space="preserve">Health and Human Services Commission</w:t>
      </w:r>
      <w:r>
        <w:t xml:space="preserve"> [</w:t>
      </w:r>
      <w:r>
        <w:rPr>
          <w:strike/>
        </w:rPr>
        <w:t xml:space="preserve">Texas Rehabilitation Commission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469.058(c) and Section 469.059(c), Government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do not affect the validity of a disciplinary action or other proceeding that was initiated before September 1, 2023, and that is pending on September 1, 2023. A disciplinary action that is pending on September 1, 2023, is governed by the law in effect immediately before September 1, 2023,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