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effectiveness of state-funded homelessness programs at helping beneficiaries advance toward self-sufficiency.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 Government Code, is amended by adding Section 2306.084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2306.084.</w:t>
      </w:r>
      <w:r>
        <w:rPr>
          <w:u w:val="single"/>
        </w:rPr>
        <w:t xml:space="preserve"> </w:t>
      </w:r>
      <w:r>
        <w:rPr>
          <w:u w:val="single"/>
        </w:rPr>
        <w:t xml:space="preserve"> </w:t>
      </w:r>
      <w:r>
        <w:rPr>
          <w:u w:val="single"/>
        </w:rPr>
        <w:t xml:space="preserve">STATEWIDE HOMELESSNESS SERVICES AUDIT.  (a)  In 2024 and every second year after that year, the state auditor shall conduct and effectiveness and efficiency audit of all services for the homeless provided by agencies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 of the audit shall be paid for using existing resources allocated for the purpose of auditing the agencies identified in subsection (g).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of the year in which an audit is required under this section, the state auditor shall engage an external auditor to conduct the audit.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auditor shall oversee the external auditor and ensure that the audit is conducted in accordance with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external auditor shall be independent and not subject to direction from any state agency subject to evaluation by the auditor for purposes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audit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all state resources, including but not limited to financial resources, manpower, and infrastructure used in providing services to the homeless;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effectiveness of state agencies, programs, and community service providers receiving state funds at helping the homeless achieve self-sufficiency, including the following outcomes: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beneficiaries who secure and maintain housing for which they are the primary payer;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beneficiaries whose children regularly attend school or other educational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percentage of beneficiaries who participate in at least 20 hours per week of paid public or private sector work, including paid apprenticeships;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percentage of beneficiaries engaged in occupational or vocational training programs;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beneficiaries who move from subsidized income to earned income as a primary source of earnings;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percentage of beneficiaries who have regular visits with a primary care physician;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beneficiaries with mental health needs who engage in regular mental health care services;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percentage of beneficiaries with addiction or substance use disorder who engage in regular treatment services;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percentage of beneficiaries without involvement with the criminal justice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rate each agency, program, and community service provider reviewed as "unsatisfactory," "satisfactory," or "exemplary" based on their effectiveness at achieving the outcomes under subsection (f)(2);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poorly performing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ending contractual or funding relationships with poorly performing community service providers;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consolidating duplicative or overlapping services and functions;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reallocating state resources to ensure that the outcomes under subsection (f)(2) are achieved in the most effective and economical manner.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following agencies must be included in the audit: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Texas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Texas Workforce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Texas Veterans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Texas Department of Criminal Justice.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auditor may select other agencies or programs in addition to those listed in subsection (g) for inclusion in the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external auditor must complete the audit not later than the 90th day after the date the auditor is engaged and present its results and recommendations to the state auditor and the heads of the agencies subject to the audit.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November 1 of the calendar year in which an audit is completed, the state auditor shall prepare and submit a report of the audit and recommendations for improvement to the governor, the Speaker of the House of Representatives, the Lieutenant Governor, and the Legislative Budget Board.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full audit and state auditor's report must be published to the state auditor's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