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88R6746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Bettencourt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1814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definition of current debt service for the purpose of calculating the current debt rate of a taxing unit for ad valorem tax purposes.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26.012(3), Tax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"Current debt </w:t>
      </w:r>
      <w:r>
        <w:rPr>
          <w:u w:val="single"/>
        </w:rPr>
        <w:t xml:space="preserve">service</w:t>
      </w:r>
      <w:r>
        <w:t xml:space="preserve">" means </w:t>
      </w:r>
      <w:r>
        <w:rPr>
          <w:u w:val="single"/>
        </w:rPr>
        <w:t xml:space="preserve">the minimum dollar amount required to be expended for</w:t>
      </w:r>
      <w:r>
        <w:t xml:space="preserve"> debt service for the current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only to ad valorem taxes imposed for an ad valorem tax year that begins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January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1814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