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88R8871 TJB-D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1819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governing body of a school district to adopt an ad valorem tax rate that exceeds the district's voter-approval tax rate.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26.042, Tax Code, is amended by adding Subsection (e-1)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of a school district may not adopt a tax rate under Subsection (e) for a tax year in which: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previously adopted a tax rate that exceeded the district's voter-approval tax rate;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election was held under Section 26.08 for the purpose of determining whether to approve the district's adopted tax rate;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proposition to approve the district's adopted tax rate was not approved by the voters of the district at the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an ad valorem tax year that begins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