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Hall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1820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prohibited play and facilitation of play of a lottery game by telephone or through the Internet.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466.015, Government Code, is amended by amending Subsection (b) and adding Subsection (b-2)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 shall adopt rules to the extent they are not inconsistent with Chapters 551 and 552 governing the: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security for the lottery and the commission, including the development of an internal security plan;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apportionment of the total revenues from the sale of tickets and from all other sources in the amounts provided by this chapter;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enforcement of prohibitions on the sale of tickets to or by an individual younger than 18 years of age;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enforcement of prohibitions on a person playing </w:t>
      </w:r>
      <w:r>
        <w:rPr>
          <w:u w:val="single"/>
        </w:rPr>
        <w:t xml:space="preserve">or facilitating the playing of</w:t>
      </w:r>
      <w:r>
        <w:t xml:space="preserve"> a lottery game by telephone </w:t>
      </w:r>
      <w:r>
        <w:rPr>
          <w:u w:val="single"/>
        </w:rPr>
        <w:t xml:space="preserve">or through the Internet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(b-2)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purposes of this section, a person: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plays a lottery game by telephone or through the Internet if the person, by telephone or through an Internet application or mobile Internet application: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orders or purchases a ticket for the game;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arranges for another person to purchase a ticket on behalf of the person playing the game;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facilitates the playing of a lottery game by telephone or through the Internet if the person, by telephone or through an Internet application or mobile Internet application: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accepts orders for or sells a ticket for the game;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arranges to purchase or for another person to purchase a ticket on behalf of the person playing the game.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Not later than January 1, 2024, the Texas Lottery Commission shall adopt or amend rules as necessary to implement the changes in law made by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1820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