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88R971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residential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 24.012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RECORDS RELATED TO RESIDENTIAL EVICTION CASE INFORMATION.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case" means a lawsuit brought under this chapter to recover possession of leased or rented residential real property from a tenant, including a tenant at will or a tenant at sufferance.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 information" means all records and files related to a filing of an eviction case, including petitions and their dispositions.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"Landlord"</w:t>
      </w:r>
      <w:r>
        <w:rPr>
          <w:u w:val="single"/>
        </w:rPr>
        <w:t xml:space="preserve"> </w:t>
      </w:r>
      <w:r>
        <w:rPr>
          <w:u w:val="single"/>
        </w:rPr>
        <w:t xml:space="preserve">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owner, lessor, or sublessor of a dwelling;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management company or managing agent for a dwelling, including an on-site manager;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rent collector for a dwelling.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judgment or order of dismissal in an eviction case, a court shall enter an order making confidential the eviction case information pertaining to a defendant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is entered in favor of the defendant;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is dismissed without any relief granted to the plaintiff;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 residential tenant not otherwise in default and the eviction case is brought by the successor in interest following foreclosure.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petition of a defendant in an eviction case after a judgment or order of dismissal has been entered, a court shall enter an order making confidential the eviction case information pertaining to a defendant if: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five years have elapsed from the date of the final judgment in the eviction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was a residential tenant not otherwise in default and the eviction case was brought by the successor in interest following foreclosure;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confidentiality order was not issued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was entered in favor of the defendant;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was dismissed.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judgment or order of dismissal in an eviction case or on petition of a defendant in an eviction case after a judgment or dismissal in the case, a court may enter an order making confidential the eviction case information pertaining to the defendant if the court finds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interest of justice;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interest of justice is not outweighed by the public's interest in knowing the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order is entered making eviction case information confidential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 clerk may not intentionally disclose the eviction case information, except: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any judge or court staff;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parties to the suit or the parties' counsel;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form that omits any personal identifying information of the parties, to any other person, agency, or institution approved by the court with a legitimate interest in the work of the court;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person, other than a landlord, who regularly collects and disseminates eviction case information, or a person who sells eviction case information 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existence of the eviction case;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eviction case information as a factor in determining a score or recommendation in a tenant screening report regarding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Subsection (e) is liable to an injured party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 or, if unable to prove actual damages, exemplary damages of not more than $1,000;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of not more than $10,000 and court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41.004(a), Civil Practice and Remedies Code, a court shall award exemplary damages under Subsection (f)(1) to the injured party if the party is not awarded actual damages.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party to an eviction case from abstracting the judgment in the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Texas Supreme Court shall adopt the rules necessary to implement Section 24.012, Property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