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88R12135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translation of a student's individualized education program into Spanish or another language other than English.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29.005(d),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</w:t>
      </w:r>
      <w:r>
        <w:rPr>
          <w:u w:val="single"/>
        </w:rPr>
        <w:t xml:space="preserve">English is not the native language of</w:t>
      </w:r>
      <w:r>
        <w:t xml:space="preserve"> the child's parent [</w:t>
      </w:r>
      <w:r>
        <w:rPr>
          <w:strike/>
        </w:rPr>
        <w:t xml:space="preserve">is unable to speak English</w:t>
      </w:r>
      <w:r>
        <w:t xml:space="preserve">], the district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parent with a written or audiotaped copy of the child's individualized education program translated into Spanish if Spanish is the parent's native language;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parent's native language is a language other than Spanish, make a good faith effort to provide the parent with a written or audiotaped copy of the child's individualized education program translated into the parent's native language.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