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2023S0150-1  02/15/23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1829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dissolution of certain water control and improvement districts by a commissioners court.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P, Chapter 51, Water Code, is amended by adding Section 51.837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51.837.</w:t>
      </w:r>
      <w:r>
        <w:rPr>
          <w:u w:val="single"/>
        </w:rPr>
        <w:t xml:space="preserve"> </w:t>
      </w:r>
      <w:r>
        <w:rPr>
          <w:u w:val="single"/>
        </w:rPr>
        <w:t xml:space="preserve"> </w:t>
      </w:r>
      <w:r>
        <w:rPr>
          <w:u w:val="single"/>
        </w:rPr>
        <w:t xml:space="preserve">DISSOLUTION BY COMMISSIONERS COURT.  (a)  This section applies to a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created or organized by a commissioners court before 1971 under general law enacted in 1904, 1913, 1917, 1918, or 1925;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converted from a water improvement district or irrigation district to a water control and improvement district by action of the board under general law enacted in 1925.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a commissioners court may dissolve a district, the governing body of a municipality within the district's boundaries must adopt an ordinance stating that the municipality will assume the assets, debts, contractual rights, and other obligations of the district on its dissolution.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may dissolve a district by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referendum;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consistent with any other method by which the district was created.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dissolving a district under this section takes effect on the 31st day after the date the commissioners court adopts the order.  On the effective date of the order, 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succeeds to the duties and assets of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assumes all bonds, debts, obligations, and liabilities of the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the powers and duties described by Sections 43.075(c)-(l), Local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dissolution: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records and certificates of the district shall be transferred to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shall provide notice and make recordings of the transfers under this section as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