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88R10202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1832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individuals who may provide services as personal attendants under Medicaid and other public benefits programs administered by the Health and Human Services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531.05115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531.05115.</w:t>
      </w:r>
      <w:r>
        <w:rPr>
          <w:u w:val="single"/>
        </w:rPr>
        <w:t xml:space="preserve"> </w:t>
      </w:r>
      <w:r>
        <w:rPr>
          <w:u w:val="single"/>
        </w:rPr>
        <w:t xml:space="preserve"> </w:t>
      </w:r>
      <w:r>
        <w:rPr>
          <w:u w:val="single"/>
        </w:rPr>
        <w:t xml:space="preserve">FAMILY MEMBERS AS PERSONAL ATTENDANTS.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"Consumer" has the meaning assigned by Section 531.051.</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"Personal attendant" means an individual who is authorized to provide attendant care services to a consumer who is eligible to receive those services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Medicaid, including a waiver or other program established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Section 1115 of the Social Security Act (42 U.S.C. Section 1315);</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Section 1915(b), (c), or (k) of the Social Security Act (42 U.S.C. Section 1396n(b), (c), or (k));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Section 1929 of the Social Security Act (42 U.S.C. Section 1396t);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social services block grant under Title XX of the Social Security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the extent permitted by federal law, a personal attendant who provides services to a consumer may be a family member of the consumer, including the consumer's parent or spouse.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