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88R11487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disciplinary proceedings applicable to a crime laboratory or license holder investigated by the Texas Forensic Science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4-c(a), (c), (d), and (e), Article 38.01, Code of Criminal Procedure,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a determination by the commission that a license holder </w:t>
      </w:r>
      <w:r>
        <w:rPr>
          <w:u w:val="single"/>
        </w:rPr>
        <w:t xml:space="preserve">or crime laboratory</w:t>
      </w:r>
      <w:r>
        <w:t xml:space="preserve"> has committed professional </w:t>
      </w:r>
      <w:r>
        <w:rPr>
          <w:u w:val="single"/>
        </w:rPr>
        <w:t xml:space="preserve">negligence or professional</w:t>
      </w:r>
      <w:r>
        <w:t xml:space="preserve"> misconduct under this article</w:t>
      </w:r>
      <w:r>
        <w:rPr>
          <w:u w:val="single"/>
        </w:rPr>
        <w:t xml:space="preserve">, violated the code of professional responsibility under this article,</w:t>
      </w:r>
      <w:r>
        <w:t xml:space="preserve"> or </w:t>
      </w:r>
      <w:r>
        <w:rPr>
          <w:u w:val="single"/>
        </w:rPr>
        <w:t xml:space="preserve">otherwise</w:t>
      </w:r>
      <w:r>
        <w:t xml:space="preserve"> violated this article or a rule or order of the commission under this article, the commission may</w:t>
      </w:r>
      <w:r>
        <w:rPr>
          <w:u w:val="single"/>
        </w:rPr>
        <w:t xml:space="preserve">, as applicable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revoke or suspend the person's license </w:t>
      </w:r>
      <w:r>
        <w:rPr>
          <w:u w:val="single"/>
        </w:rPr>
        <w:t xml:space="preserve">or crime laboratory's accreditation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refuse to renew the person's license </w:t>
      </w:r>
      <w:r>
        <w:rPr>
          <w:u w:val="single"/>
        </w:rPr>
        <w:t xml:space="preserve">or crime laboratory's accreditation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reprimand the license holder </w:t>
      </w:r>
      <w:r>
        <w:rPr>
          <w:u w:val="single"/>
        </w:rPr>
        <w:t xml:space="preserve">or crime laboratory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give written notice by certified mail of a determination described by Subsection (a) to </w:t>
      </w:r>
      <w:r>
        <w:rPr>
          <w:u w:val="single"/>
        </w:rPr>
        <w:t xml:space="preserve">the applicable</w:t>
      </w:r>
      <w:r>
        <w:t xml:space="preserve"> [</w:t>
      </w:r>
      <w:r>
        <w:rPr>
          <w:strike/>
        </w:rPr>
        <w:t xml:space="preserve">a</w:t>
      </w:r>
      <w:r>
        <w:t xml:space="preserve">] license holder </w:t>
      </w:r>
      <w:r>
        <w:rPr>
          <w:u w:val="single"/>
        </w:rPr>
        <w:t xml:space="preserve">or crime laboratory</w:t>
      </w:r>
      <w:r>
        <w:t xml:space="preserve"> [</w:t>
      </w:r>
      <w:r>
        <w:rPr>
          <w:strike/>
        </w:rPr>
        <w:t xml:space="preserve">who is the subject of the determination</w:t>
      </w:r>
      <w:r>
        <w:t xml:space="preserve">].</w:t>
      </w:r>
      <w:r xml:space="preserve">
        <w:t> </w:t>
      </w:r>
      <w:r xml:space="preserve">
        <w:t> </w:t>
      </w:r>
      <w:r>
        <w:t xml:space="preserve">The notice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a brief summary of the alleged </w:t>
      </w:r>
      <w:r>
        <w:rPr>
          <w:u w:val="single"/>
        </w:rPr>
        <w:t xml:space="preserve">negligence,</w:t>
      </w:r>
      <w:r>
        <w:t xml:space="preserve"> misconduct</w:t>
      </w:r>
      <w:r>
        <w:rPr>
          <w:u w:val="single"/>
        </w:rPr>
        <w:t xml:space="preserve">,</w:t>
      </w:r>
      <w:r>
        <w:t xml:space="preserve"> or violation;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state the disciplinary action taken by the commission;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inform the license holder </w:t>
      </w:r>
      <w:r>
        <w:rPr>
          <w:u w:val="single"/>
        </w:rPr>
        <w:t xml:space="preserve">or crime laboratory</w:t>
      </w:r>
      <w:r>
        <w:t xml:space="preserve"> of the license holder's </w:t>
      </w:r>
      <w:r>
        <w:rPr>
          <w:u w:val="single"/>
        </w:rPr>
        <w:t xml:space="preserve">or crime laboratory's</w:t>
      </w:r>
      <w:r>
        <w:t xml:space="preserve"> right to a hearing before the Judicial Branch Certification Commission on the occurrence of the </w:t>
      </w:r>
      <w:r>
        <w:rPr>
          <w:u w:val="single"/>
        </w:rPr>
        <w:t xml:space="preserve">negligence,</w:t>
      </w:r>
      <w:r>
        <w:t xml:space="preserve"> misconduct</w:t>
      </w:r>
      <w:r>
        <w:rPr>
          <w:u w:val="single"/>
        </w:rPr>
        <w:t xml:space="preserve">,</w:t>
      </w:r>
      <w:r>
        <w:t xml:space="preserve"> or violation, the imposition of </w:t>
      </w:r>
      <w:r>
        <w:rPr>
          <w:u w:val="single"/>
        </w:rPr>
        <w:t xml:space="preserve">a</w:t>
      </w:r>
      <w:r>
        <w:t xml:space="preserve"> disciplinary action,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the 20th day after the date the license holder </w:t>
      </w:r>
      <w:r>
        <w:rPr>
          <w:u w:val="single"/>
        </w:rPr>
        <w:t xml:space="preserve">or crime laboratory</w:t>
      </w:r>
      <w:r>
        <w:t xml:space="preserve"> receives the notice under Subsection (c), the license holder </w:t>
      </w:r>
      <w:r>
        <w:rPr>
          <w:u w:val="single"/>
        </w:rPr>
        <w:t xml:space="preserve">or crime laboratory</w:t>
      </w:r>
      <w:r>
        <w:t xml:space="preserve"> may </w:t>
      </w:r>
      <w:r>
        <w:rPr>
          <w:u w:val="single"/>
        </w:rPr>
        <w:t xml:space="preserve">accept the disciplinary action or</w:t>
      </w:r>
      <w:r>
        <w:t xml:space="preserve"> request a hearing by submitting a written request to the Judicial Branch Certification Commission </w:t>
      </w:r>
      <w:r>
        <w:rPr>
          <w:u w:val="single"/>
        </w:rPr>
        <w:t xml:space="preserve">to contest the findings of fact or conclusions of law, the occurrence of the negligence, misconduct, or violation, or the imposition of a disciplinary action, as applicable</w:t>
      </w:r>
      <w:r>
        <w:t xml:space="preserve">.</w:t>
      </w:r>
      <w:r xml:space="preserve">
        <w:t> </w:t>
      </w:r>
      <w:r xml:space="preserve">
        <w:t> </w:t>
      </w:r>
      <w:r>
        <w:t xml:space="preserve">If the license holder </w:t>
      </w:r>
      <w:r>
        <w:rPr>
          <w:u w:val="single"/>
        </w:rPr>
        <w:t xml:space="preserve">or crime laboratory</w:t>
      </w:r>
      <w:r>
        <w:t xml:space="preserve"> fails to timely submit a request, the commission's disciplinary action becomes final and is not subject to review by the Judicial Branch Certification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the license holder </w:t>
      </w:r>
      <w:r>
        <w:rPr>
          <w:u w:val="single"/>
        </w:rPr>
        <w:t xml:space="preserve">or crime laboratory</w:t>
      </w:r>
      <w:r>
        <w:t xml:space="preserve"> requests a hearing, the Judicial Branch Certification Commission shall conduct a hearing to determine whether there is substantial evidence to support the determination under Subsection (a) that the </w:t>
      </w:r>
      <w:r>
        <w:rPr>
          <w:u w:val="single"/>
        </w:rPr>
        <w:t xml:space="preserve">negligence, misconduct, or violation occurred</w:t>
      </w:r>
      <w:r>
        <w:t xml:space="preserve"> [</w:t>
      </w:r>
      <w:r>
        <w:rPr>
          <w:strike/>
        </w:rPr>
        <w:t xml:space="preserve">license holder committed professional misconduct or violated this article or a commission rule or order under this article</w:t>
      </w:r>
      <w:r>
        <w:t xml:space="preserve">].</w:t>
      </w:r>
      <w:r xml:space="preserve">
        <w:t> </w:t>
      </w:r>
      <w:r xml:space="preserve">
        <w:t> </w:t>
      </w:r>
      <w:r>
        <w:t xml:space="preserve">If the Judicial Branch Certification Commission upholds the determination, the Judicial Branch Certification Commission shall determine the type of disciplinary action to be taken.</w:t>
      </w:r>
      <w:r xml:space="preserve">
        <w:t> </w:t>
      </w:r>
      <w:r xml:space="preserve">
        <w:t> </w:t>
      </w:r>
      <w:r>
        <w:t xml:space="preserve">The Judicial Branch Certification Commission shall conduct the hearing</w:t>
      </w:r>
      <w:r>
        <w:rPr>
          <w:u w:val="single"/>
        </w:rPr>
        <w:t xml:space="preserve">, and any appeal of that commission's decision,</w:t>
      </w:r>
      <w:r>
        <w:t xml:space="preserve"> in accordance with the procedures provided by Subchapter B, Chapter 153, Government Code, as applicable, and the rules of the Judicial Branch Certification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