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88R10896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1843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attorney's fees in an action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27.009(a),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if the court orders dismissal of a legal action under this chapter, the court:</w:t>
      </w:r>
    </w:p>
    <w:p w:rsidR="003F3435" w:rsidRDefault="0032493E">
      <w:pPr>
        <w:spacing w:line="480" w:lineRule="auto"/>
        <w:ind w:firstLine="1440"/>
        <w:jc w:val="both"/>
      </w:pPr>
      <w:r>
        <w:t xml:space="preserve">(1)</w:t>
      </w:r>
      <w:r xml:space="preserve">
        <w:t> </w:t>
      </w:r>
      <w:r xml:space="preserve">
        <w:t> </w:t>
      </w:r>
      <w:r>
        <w:t xml:space="preserve">shall award to the moving party court costs and reasonable attorney's fees </w:t>
      </w:r>
      <w:r>
        <w:rPr>
          <w:u w:val="single"/>
        </w:rPr>
        <w:t xml:space="preserve">for</w:t>
      </w:r>
      <w:r>
        <w:t xml:space="preserve"> [</w:t>
      </w:r>
      <w:r>
        <w:rPr>
          <w:strike/>
        </w:rPr>
        <w:t xml:space="preserve">incurred in</w:t>
      </w:r>
      <w:r>
        <w:t xml:space="preserve">] defending against the legal action; and</w:t>
      </w:r>
    </w:p>
    <w:p w:rsidR="003F3435" w:rsidRDefault="0032493E">
      <w:pPr>
        <w:spacing w:line="480" w:lineRule="auto"/>
        <w:ind w:firstLine="1440"/>
        <w:jc w:val="both"/>
      </w:pPr>
      <w:r>
        <w:t xml:space="preserve">(2)</w:t>
      </w:r>
      <w:r xml:space="preserve">
        <w:t> </w:t>
      </w:r>
      <w:r xml:space="preserve">
        <w:t> </w:t>
      </w:r>
      <w:r>
        <w:t xml:space="preserve">may award to the moving party sanctions against the party who brought the legal action as the court determines sufficient to deter the party who brought the legal action from bringing similar actions described in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filed on or after the effective date of this Act. </w:t>
      </w:r>
      <w:r>
        <w:t xml:space="preserve"> </w:t>
      </w:r>
      <w:r>
        <w:t xml:space="preserve">An action filed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