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1850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Water, Agriculture &amp; Rural Affairs; May</w:t>
      </w:r>
      <w:r xml:space="preserve">
        <w:t> </w:t>
      </w:r>
      <w:r>
        <w:t xml:space="preserve">2,</w:t>
      </w:r>
      <w:r xml:space="preserve">
        <w:t> </w:t>
      </w:r>
      <w:r>
        <w:t xml:space="preserve">2023, reported favorably by the following vote:</w:t>
      </w:r>
      <w:r>
        <w:t xml:space="preserve"> </w:t>
      </w:r>
      <w:r>
        <w:t xml:space="preserve"> </w:t>
      </w:r>
      <w:r>
        <w:t xml:space="preserve">Yeas 8, Nays 0; May</w:t>
      </w:r>
      <w:r xml:space="preserve">
        <w:t> </w:t>
      </w:r>
      <w:r>
        <w:t xml:space="preserve">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presiding officer of the State Board of Veterinary Medical Examiners.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 designate a </w:t>
      </w:r>
      <w:r>
        <w:rPr>
          <w:u w:val="single"/>
        </w:rPr>
        <w:t xml:space="preserve">veterinarian</w:t>
      </w:r>
      <w:r>
        <w:t xml:space="preserve"> member of the board as the presiding officer of the board to serve in that capacity at the pleasure of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appointment of the presiding officer of the State Board of Veterinary Medical Examiners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