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1852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active shooter training for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of not less than 16 hours on responding to an active shooter as developed by the Advanced Law Enforcement Rapid Response Training Center at Texas State University--San Marcos.  An officer shall complete the program not later than the last day of the first full continuing education training period that begins on or after the date the officer is licensed under this chapter unless the officer completes the program as part of the officer's basic training course.  Completion of a training program under this subsection satisfies any other requirement, other than a continuing education requirement under Section 1701.3525, for the officer to complete a training program on responding to active shootings, including under Section 37.0812(a),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1701, Occupations Code, is amended by adding Section 1701.3525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1701.3525.</w:t>
      </w:r>
      <w:r>
        <w:rPr>
          <w:u w:val="single"/>
        </w:rPr>
        <w:t xml:space="preserve"> </w:t>
      </w:r>
      <w:r>
        <w:rPr>
          <w:u w:val="single"/>
        </w:rPr>
        <w:t xml:space="preserve"> </w:t>
      </w:r>
      <w:r>
        <w:rPr>
          <w:u w:val="single"/>
        </w:rPr>
        <w:t xml:space="preserve">ACTIVE SHOOTER RESPONSE TRAINING REQUIRED FOR OFFICERS.  (a)  As part of the continuing education programs under Section 1701.351(a), an officer must complete not less than 16 hours of training on responding to an active shooter as developed by the Advanced Law Enforcement Rapid Response Training Center at Texas State University--San Marcos.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exemptions under Sections 1701.351(b), (c), and (d) do not apply to the training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Commission on Law Enforcement shall adopt rules to implement Sections 1701.253(q) and 1701.3525,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1701.3525, Occupations Code, as added by this Act, applies only with respect to a 24-month continuing education training unit that begins on or after the effective date of this Act.  A training unit that begins before the effective date of this Act is governed by the law in effect on the date the training unit began,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1852 passed the Senate on April</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1852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133, Nays</w:t>
      </w:r>
      <w:r xml:space="preserve">
        <w:t> </w:t>
      </w:r>
      <w:r>
        <w:t xml:space="preserve">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