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1852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Criminal Justice;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1852</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other than a continuing education requirement under Section 1701.3525, for the officer to complete a training program on responding to active shootings,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1701.3525.</w:t>
      </w:r>
      <w:r>
        <w:rPr>
          <w:u w:val="single"/>
        </w:rPr>
        <w:t xml:space="preserve"> </w:t>
      </w:r>
      <w:r>
        <w:rPr>
          <w:u w:val="single"/>
        </w:rPr>
        <w:t xml:space="preserve"> </w:t>
      </w:r>
      <w:r>
        <w:rPr>
          <w:u w:val="single"/>
        </w:rPr>
        <w:t xml:space="preserve">ACTIVE SHOOTER RESPONSE TRAINING REQUIRED FOR OFFICERS.  (a)  As part of the continuing education programs under Section 1701.351(a),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under Sections 1701.351(b), (c), and (d) do not apply to the training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on Law Enforcement shall adopt rules to implement Sections 1701.253(q) and 1701.3525,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1701.3525,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