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1854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Finance; April</w:t>
      </w:r>
      <w:r xml:space="preserve">
        <w:t> </w:t>
      </w:r>
      <w:r>
        <w:t xml:space="preserve">4,</w:t>
      </w:r>
      <w:r xml:space="preserve">
        <w:t> </w:t>
      </w:r>
      <w:r>
        <w:t xml:space="preserve">2023, reported favorably by the following vote:</w:t>
      </w:r>
      <w:r>
        <w:t xml:space="preserve"> </w:t>
      </w:r>
      <w:r>
        <w:t xml:space="preserve"> </w:t>
      </w:r>
      <w:r>
        <w:t xml:space="preserve">Yeas 17,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optional group benefits for dental and vision care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1575, Insurance Code, is amended by adding Section 1575.1601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1575.1601.</w:t>
      </w:r>
      <w:r>
        <w:rPr>
          <w:u w:val="single"/>
        </w:rPr>
        <w:t xml:space="preserve"> </w:t>
      </w:r>
      <w:r>
        <w:rPr>
          <w:u w:val="single"/>
        </w:rPr>
        <w:t xml:space="preserve"> </w:t>
      </w:r>
      <w:r>
        <w:rPr>
          <w:u w:val="single"/>
        </w:rPr>
        <w:t xml:space="preserve">GROUP BENEFITS FOR DENTAL AND VISION CARE.  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optional plan that provides coverage for dental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plan that provides coverage for vision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